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53AAE" w14:textId="77777777" w:rsidR="00125BD7" w:rsidRDefault="00125BD7" w:rsidP="00125BD7">
      <w:pPr>
        <w:pStyle w:val="Default"/>
      </w:pPr>
    </w:p>
    <w:p w14:paraId="0088C6B5" w14:textId="77777777" w:rsidR="00125BD7" w:rsidRDefault="00125BD7" w:rsidP="00125BD7">
      <w:pPr>
        <w:pStyle w:val="Default"/>
        <w:rPr>
          <w:b/>
          <w:bCs/>
          <w:sz w:val="18"/>
          <w:szCs w:val="18"/>
        </w:rPr>
      </w:pPr>
    </w:p>
    <w:p w14:paraId="1A3BC8A7" w14:textId="77777777" w:rsidR="00BB5BC7" w:rsidRDefault="00BB5BC7" w:rsidP="00125BD7">
      <w:pPr>
        <w:pStyle w:val="Default"/>
        <w:jc w:val="center"/>
        <w:rPr>
          <w:rFonts w:ascii="Calibri" w:eastAsia="Times New Roman" w:hAnsi="Calibri" w:cs="Calibri"/>
          <w:b/>
          <w:bCs/>
          <w:color w:val="2E74B5"/>
          <w:szCs w:val="18"/>
          <w:lang w:eastAsia="nl-NL"/>
        </w:rPr>
      </w:pPr>
    </w:p>
    <w:p w14:paraId="028D704E" w14:textId="77777777" w:rsidR="00BB5BC7" w:rsidRDefault="00BB5BC7" w:rsidP="00125BD7">
      <w:pPr>
        <w:pStyle w:val="Default"/>
        <w:jc w:val="center"/>
        <w:rPr>
          <w:rFonts w:ascii="Calibri" w:eastAsia="Times New Roman" w:hAnsi="Calibri" w:cs="Calibri"/>
          <w:b/>
          <w:bCs/>
          <w:color w:val="2E74B5"/>
          <w:szCs w:val="18"/>
          <w:lang w:eastAsia="nl-NL"/>
        </w:rPr>
      </w:pPr>
    </w:p>
    <w:p w14:paraId="0C45A57E" w14:textId="029FB847" w:rsidR="00265740" w:rsidRDefault="00125BD7" w:rsidP="00A0401A">
      <w:pPr>
        <w:pStyle w:val="Default"/>
        <w:jc w:val="center"/>
        <w:rPr>
          <w:b/>
          <w:bCs/>
          <w:sz w:val="18"/>
          <w:szCs w:val="18"/>
        </w:rPr>
      </w:pPr>
      <w:r w:rsidRPr="00BB5BC7">
        <w:rPr>
          <w:rFonts w:ascii="Calibri" w:eastAsia="Times New Roman" w:hAnsi="Calibri" w:cs="Calibri"/>
          <w:b/>
          <w:bCs/>
          <w:color w:val="2E74B5"/>
          <w:sz w:val="28"/>
          <w:szCs w:val="28"/>
          <w:lang w:eastAsia="nl-NL"/>
        </w:rPr>
        <w:t>Kootstra Talen</w:t>
      </w:r>
      <w:r w:rsidR="00A0401A">
        <w:rPr>
          <w:rFonts w:ascii="Calibri" w:eastAsia="Times New Roman" w:hAnsi="Calibri" w:cs="Calibri"/>
          <w:b/>
          <w:bCs/>
          <w:color w:val="2E74B5"/>
          <w:sz w:val="28"/>
          <w:szCs w:val="28"/>
          <w:lang w:eastAsia="nl-NL"/>
        </w:rPr>
        <w:t xml:space="preserve">t Fellowship (KTF) – </w:t>
      </w:r>
      <w:proofErr w:type="gramStart"/>
      <w:r w:rsidR="006038E4">
        <w:rPr>
          <w:rFonts w:ascii="Calibri" w:eastAsia="Times New Roman" w:hAnsi="Calibri" w:cs="Calibri"/>
          <w:b/>
          <w:bCs/>
          <w:color w:val="2E74B5"/>
          <w:sz w:val="28"/>
          <w:szCs w:val="28"/>
          <w:lang w:eastAsia="nl-NL"/>
        </w:rPr>
        <w:t>Autumn</w:t>
      </w:r>
      <w:proofErr w:type="gramEnd"/>
      <w:r w:rsidR="00A0401A">
        <w:rPr>
          <w:rFonts w:ascii="Calibri" w:eastAsia="Times New Roman" w:hAnsi="Calibri" w:cs="Calibri"/>
          <w:b/>
          <w:bCs/>
          <w:color w:val="2E74B5"/>
          <w:sz w:val="28"/>
          <w:szCs w:val="28"/>
          <w:lang w:eastAsia="nl-NL"/>
        </w:rPr>
        <w:t xml:space="preserve"> 2022</w:t>
      </w:r>
    </w:p>
    <w:p w14:paraId="66EA7F07" w14:textId="77777777" w:rsidR="00265740" w:rsidRDefault="00265740" w:rsidP="00125BD7">
      <w:pPr>
        <w:pStyle w:val="Default"/>
        <w:rPr>
          <w:b/>
          <w:bCs/>
          <w:sz w:val="18"/>
          <w:szCs w:val="18"/>
        </w:rPr>
      </w:pPr>
    </w:p>
    <w:tbl>
      <w:tblPr>
        <w:tblStyle w:val="TableGrid"/>
        <w:tblW w:w="0" w:type="auto"/>
        <w:tblLook w:val="04A0" w:firstRow="1" w:lastRow="0" w:firstColumn="1" w:lastColumn="0" w:noHBand="0" w:noVBand="1"/>
      </w:tblPr>
      <w:tblGrid>
        <w:gridCol w:w="9016"/>
      </w:tblGrid>
      <w:tr w:rsidR="00265740" w14:paraId="2F1317F1" w14:textId="77777777" w:rsidTr="00265740">
        <w:tc>
          <w:tcPr>
            <w:tcW w:w="9016" w:type="dxa"/>
          </w:tcPr>
          <w:p w14:paraId="4D180F63" w14:textId="77777777" w:rsidR="00265740" w:rsidRDefault="00265740" w:rsidP="00125BD7">
            <w:pPr>
              <w:pStyle w:val="Default"/>
              <w:rPr>
                <w:b/>
                <w:bCs/>
                <w:sz w:val="18"/>
                <w:szCs w:val="18"/>
              </w:rPr>
            </w:pPr>
            <w:r w:rsidRPr="00265740">
              <w:rPr>
                <w:b/>
                <w:bCs/>
                <w:sz w:val="18"/>
                <w:szCs w:val="18"/>
              </w:rPr>
              <w:t>Introduction</w:t>
            </w:r>
          </w:p>
        </w:tc>
      </w:tr>
    </w:tbl>
    <w:p w14:paraId="0A8A3D43" w14:textId="77777777" w:rsidR="00265740" w:rsidRDefault="00265740" w:rsidP="00125BD7">
      <w:pPr>
        <w:pStyle w:val="Default"/>
        <w:rPr>
          <w:b/>
          <w:bCs/>
          <w:sz w:val="18"/>
          <w:szCs w:val="18"/>
        </w:rPr>
      </w:pPr>
    </w:p>
    <w:p w14:paraId="745CFC78" w14:textId="6B183702" w:rsidR="00125BD7" w:rsidRDefault="00A0401A" w:rsidP="00125BD7">
      <w:pPr>
        <w:pStyle w:val="Default"/>
        <w:rPr>
          <w:sz w:val="18"/>
          <w:szCs w:val="18"/>
        </w:rPr>
      </w:pPr>
      <w:r>
        <w:rPr>
          <w:sz w:val="18"/>
          <w:szCs w:val="18"/>
        </w:rPr>
        <w:t>In 2022</w:t>
      </w:r>
      <w:r w:rsidR="00125BD7">
        <w:rPr>
          <w:sz w:val="18"/>
          <w:szCs w:val="18"/>
        </w:rPr>
        <w:t>, the Board of Maastricht UMC</w:t>
      </w:r>
      <w:r w:rsidR="00125BD7">
        <w:rPr>
          <w:sz w:val="12"/>
          <w:szCs w:val="12"/>
        </w:rPr>
        <w:t xml:space="preserve">+ </w:t>
      </w:r>
      <w:r w:rsidR="00125BD7">
        <w:rPr>
          <w:sz w:val="18"/>
          <w:szCs w:val="18"/>
        </w:rPr>
        <w:t xml:space="preserve">provides funding for the “Kootstra Talent Fellowship” (KTF) for postdocs. This year, there are two rounds of applications, with deadlines on </w:t>
      </w:r>
      <w:r>
        <w:rPr>
          <w:sz w:val="18"/>
          <w:szCs w:val="18"/>
        </w:rPr>
        <w:t>April</w:t>
      </w:r>
      <w:r w:rsidR="001912AA">
        <w:rPr>
          <w:sz w:val="18"/>
          <w:szCs w:val="18"/>
        </w:rPr>
        <w:t xml:space="preserve"> 1</w:t>
      </w:r>
      <w:r w:rsidR="00125BD7">
        <w:rPr>
          <w:sz w:val="18"/>
          <w:szCs w:val="18"/>
        </w:rPr>
        <w:t xml:space="preserve"> and October 1, respectively. </w:t>
      </w:r>
    </w:p>
    <w:p w14:paraId="2E4E6C39" w14:textId="77777777" w:rsidR="00125BD7" w:rsidRDefault="00125BD7" w:rsidP="00125BD7">
      <w:pPr>
        <w:pStyle w:val="Default"/>
        <w:rPr>
          <w:b/>
          <w:bCs/>
          <w:sz w:val="18"/>
          <w:szCs w:val="18"/>
        </w:rPr>
      </w:pPr>
    </w:p>
    <w:tbl>
      <w:tblPr>
        <w:tblStyle w:val="TableGrid"/>
        <w:tblW w:w="0" w:type="auto"/>
        <w:tblLook w:val="04A0" w:firstRow="1" w:lastRow="0" w:firstColumn="1" w:lastColumn="0" w:noHBand="0" w:noVBand="1"/>
      </w:tblPr>
      <w:tblGrid>
        <w:gridCol w:w="9016"/>
      </w:tblGrid>
      <w:tr w:rsidR="00265740" w14:paraId="73BD7026" w14:textId="77777777" w:rsidTr="00265740">
        <w:tc>
          <w:tcPr>
            <w:tcW w:w="9016" w:type="dxa"/>
          </w:tcPr>
          <w:p w14:paraId="119A9E74" w14:textId="77777777" w:rsidR="00265740" w:rsidRDefault="00265740" w:rsidP="00265740">
            <w:pPr>
              <w:pStyle w:val="Default"/>
              <w:rPr>
                <w:b/>
                <w:bCs/>
                <w:sz w:val="18"/>
                <w:szCs w:val="18"/>
              </w:rPr>
            </w:pPr>
            <w:r>
              <w:rPr>
                <w:b/>
                <w:bCs/>
                <w:sz w:val="18"/>
                <w:szCs w:val="18"/>
              </w:rPr>
              <w:t xml:space="preserve">Goal of the Fellowship </w:t>
            </w:r>
          </w:p>
        </w:tc>
      </w:tr>
    </w:tbl>
    <w:p w14:paraId="458461DB" w14:textId="77777777" w:rsidR="00265740" w:rsidRDefault="00265740" w:rsidP="00125BD7">
      <w:pPr>
        <w:pStyle w:val="Default"/>
        <w:rPr>
          <w:b/>
          <w:bCs/>
          <w:sz w:val="18"/>
          <w:szCs w:val="18"/>
        </w:rPr>
      </w:pPr>
    </w:p>
    <w:p w14:paraId="02AAF8BC" w14:textId="77777777" w:rsidR="00125BD7" w:rsidRDefault="00125BD7" w:rsidP="00125BD7">
      <w:pPr>
        <w:pStyle w:val="Default"/>
        <w:rPr>
          <w:sz w:val="18"/>
          <w:szCs w:val="18"/>
        </w:rPr>
      </w:pPr>
      <w:r>
        <w:rPr>
          <w:sz w:val="18"/>
          <w:szCs w:val="18"/>
        </w:rPr>
        <w:t xml:space="preserve">The KTF aims to facilitate talented researchers to develop </w:t>
      </w:r>
      <w:r w:rsidRPr="00955744">
        <w:rPr>
          <w:b/>
          <w:bCs/>
          <w:sz w:val="18"/>
          <w:szCs w:val="18"/>
        </w:rPr>
        <w:t>their own research ideas</w:t>
      </w:r>
      <w:r>
        <w:rPr>
          <w:sz w:val="18"/>
          <w:szCs w:val="18"/>
        </w:rPr>
        <w:t xml:space="preserve"> and CV, and subsequently help increase their chances of obtaining personal grants at external funding agencies. </w:t>
      </w:r>
    </w:p>
    <w:p w14:paraId="74150688" w14:textId="77777777" w:rsidR="00125BD7" w:rsidRDefault="00125BD7" w:rsidP="00125BD7">
      <w:pPr>
        <w:pStyle w:val="Default"/>
        <w:rPr>
          <w:sz w:val="18"/>
          <w:szCs w:val="18"/>
        </w:rPr>
      </w:pPr>
      <w:r>
        <w:rPr>
          <w:sz w:val="18"/>
          <w:szCs w:val="18"/>
        </w:rPr>
        <w:t xml:space="preserve">Therefore, the fellowship should be, amongst other things, be used to apply for personal grants such as </w:t>
      </w:r>
      <w:proofErr w:type="spellStart"/>
      <w:r>
        <w:rPr>
          <w:sz w:val="18"/>
          <w:szCs w:val="18"/>
        </w:rPr>
        <w:t>Veni</w:t>
      </w:r>
      <w:proofErr w:type="spellEnd"/>
      <w:r>
        <w:rPr>
          <w:sz w:val="18"/>
          <w:szCs w:val="18"/>
        </w:rPr>
        <w:t xml:space="preserve">, Marie Curie, and Rubicon. </w:t>
      </w:r>
    </w:p>
    <w:p w14:paraId="65A87F20" w14:textId="77777777" w:rsidR="00265740" w:rsidRDefault="00265740" w:rsidP="00125BD7">
      <w:pPr>
        <w:pStyle w:val="Default"/>
        <w:rPr>
          <w:sz w:val="18"/>
          <w:szCs w:val="18"/>
        </w:rPr>
      </w:pPr>
    </w:p>
    <w:p w14:paraId="0C21D8CD" w14:textId="77777777" w:rsidR="00A3079A" w:rsidRDefault="00125BD7" w:rsidP="00125BD7">
      <w:pPr>
        <w:pStyle w:val="Default"/>
        <w:rPr>
          <w:sz w:val="18"/>
          <w:szCs w:val="18"/>
        </w:rPr>
      </w:pPr>
      <w:r>
        <w:rPr>
          <w:sz w:val="18"/>
          <w:szCs w:val="18"/>
        </w:rPr>
        <w:t>The call is open to</w:t>
      </w:r>
      <w:r w:rsidR="00A3079A">
        <w:rPr>
          <w:sz w:val="18"/>
          <w:szCs w:val="18"/>
        </w:rPr>
        <w:t>:</w:t>
      </w:r>
    </w:p>
    <w:p w14:paraId="0986F2B7" w14:textId="77777777" w:rsidR="00A3079A" w:rsidRDefault="00125BD7" w:rsidP="00125BD7">
      <w:pPr>
        <w:pStyle w:val="Default"/>
        <w:rPr>
          <w:sz w:val="18"/>
          <w:szCs w:val="18"/>
        </w:rPr>
      </w:pPr>
      <w:r>
        <w:rPr>
          <w:sz w:val="18"/>
          <w:szCs w:val="18"/>
        </w:rPr>
        <w:t xml:space="preserve">1) </w:t>
      </w:r>
      <w:proofErr w:type="gramStart"/>
      <w:r>
        <w:rPr>
          <w:sz w:val="18"/>
          <w:szCs w:val="18"/>
        </w:rPr>
        <w:t>researchers</w:t>
      </w:r>
      <w:proofErr w:type="gramEnd"/>
      <w:r>
        <w:rPr>
          <w:sz w:val="18"/>
          <w:szCs w:val="18"/>
        </w:rPr>
        <w:t xml:space="preserve"> who obtained their PhD degree at the FHML of Maastricht University within one year of the application deadline, </w:t>
      </w:r>
      <w:r w:rsidRPr="00A3079A">
        <w:rPr>
          <w:i/>
          <w:sz w:val="18"/>
          <w:szCs w:val="18"/>
        </w:rPr>
        <w:t>or</w:t>
      </w:r>
      <w:r>
        <w:rPr>
          <w:sz w:val="18"/>
          <w:szCs w:val="18"/>
        </w:rPr>
        <w:t xml:space="preserve"> </w:t>
      </w:r>
    </w:p>
    <w:p w14:paraId="1919F97A" w14:textId="77777777" w:rsidR="00A3079A" w:rsidRDefault="00125BD7" w:rsidP="00125BD7">
      <w:pPr>
        <w:pStyle w:val="Default"/>
        <w:rPr>
          <w:sz w:val="18"/>
          <w:szCs w:val="18"/>
        </w:rPr>
      </w:pPr>
      <w:r>
        <w:rPr>
          <w:sz w:val="18"/>
          <w:szCs w:val="18"/>
        </w:rPr>
        <w:t xml:space="preserve">2) </w:t>
      </w:r>
      <w:proofErr w:type="gramStart"/>
      <w:r>
        <w:rPr>
          <w:sz w:val="18"/>
          <w:szCs w:val="18"/>
        </w:rPr>
        <w:t>researchers</w:t>
      </w:r>
      <w:proofErr w:type="gramEnd"/>
      <w:r>
        <w:rPr>
          <w:sz w:val="18"/>
          <w:szCs w:val="18"/>
        </w:rPr>
        <w:t xml:space="preserve"> who are finalizing their PhD at the FHML of Maastricht University. </w:t>
      </w:r>
    </w:p>
    <w:p w14:paraId="14846A21" w14:textId="2BD8B7E8" w:rsidR="00125BD7" w:rsidRDefault="00125BD7" w:rsidP="00125BD7">
      <w:pPr>
        <w:pStyle w:val="Default"/>
        <w:rPr>
          <w:sz w:val="18"/>
          <w:szCs w:val="18"/>
        </w:rPr>
      </w:pPr>
      <w:r>
        <w:rPr>
          <w:sz w:val="18"/>
          <w:szCs w:val="18"/>
        </w:rPr>
        <w:t xml:space="preserve">Please note that (i) the KTF must start within six months of the grant </w:t>
      </w:r>
      <w:proofErr w:type="gramStart"/>
      <w:r>
        <w:rPr>
          <w:sz w:val="18"/>
          <w:szCs w:val="18"/>
        </w:rPr>
        <w:t>being awarded</w:t>
      </w:r>
      <w:proofErr w:type="gramEnd"/>
      <w:r>
        <w:rPr>
          <w:sz w:val="18"/>
          <w:szCs w:val="18"/>
        </w:rPr>
        <w:t xml:space="preserve">, and (ii) the candidate’s PhD thesis must have been approved by the evaluation committee before the fellowship can start. No exceptions </w:t>
      </w:r>
      <w:proofErr w:type="gramStart"/>
      <w:r>
        <w:rPr>
          <w:sz w:val="18"/>
          <w:szCs w:val="18"/>
        </w:rPr>
        <w:t xml:space="preserve">will be </w:t>
      </w:r>
      <w:r w:rsidR="001F1F7B">
        <w:rPr>
          <w:sz w:val="18"/>
          <w:szCs w:val="18"/>
        </w:rPr>
        <w:t>allowed</w:t>
      </w:r>
      <w:proofErr w:type="gramEnd"/>
      <w:r w:rsidR="001F1F7B">
        <w:rPr>
          <w:sz w:val="18"/>
          <w:szCs w:val="18"/>
        </w:rPr>
        <w:t>,</w:t>
      </w:r>
      <w:r>
        <w:rPr>
          <w:sz w:val="18"/>
          <w:szCs w:val="18"/>
        </w:rPr>
        <w:t xml:space="preserve"> and the Board will withdraw the award when this timeline is not met. Researchers in training as a medical specialist, or ‘arts-assistant </w:t>
      </w:r>
      <w:proofErr w:type="spellStart"/>
      <w:r>
        <w:rPr>
          <w:sz w:val="18"/>
          <w:szCs w:val="18"/>
        </w:rPr>
        <w:t>niet</w:t>
      </w:r>
      <w:proofErr w:type="spellEnd"/>
      <w:r>
        <w:rPr>
          <w:sz w:val="18"/>
          <w:szCs w:val="18"/>
        </w:rPr>
        <w:t xml:space="preserve"> in </w:t>
      </w:r>
      <w:proofErr w:type="spellStart"/>
      <w:r>
        <w:rPr>
          <w:sz w:val="18"/>
          <w:szCs w:val="18"/>
        </w:rPr>
        <w:t>opleiding</w:t>
      </w:r>
      <w:proofErr w:type="spellEnd"/>
      <w:r>
        <w:rPr>
          <w:sz w:val="18"/>
          <w:szCs w:val="18"/>
        </w:rPr>
        <w:t xml:space="preserve">’, who meet the above criteria can submit an application. Please note that written permission from the training head is required in this case. </w:t>
      </w:r>
    </w:p>
    <w:p w14:paraId="36E83F4B" w14:textId="77777777" w:rsidR="00265740" w:rsidRDefault="00265740" w:rsidP="00125BD7">
      <w:pPr>
        <w:pStyle w:val="Default"/>
        <w:rPr>
          <w:sz w:val="18"/>
          <w:szCs w:val="18"/>
        </w:rPr>
      </w:pPr>
    </w:p>
    <w:p w14:paraId="06D0E8C8" w14:textId="77777777" w:rsidR="00125BD7" w:rsidRDefault="00125BD7" w:rsidP="00125BD7">
      <w:pPr>
        <w:pStyle w:val="Default"/>
        <w:rPr>
          <w:sz w:val="18"/>
          <w:szCs w:val="18"/>
        </w:rPr>
      </w:pPr>
      <w:r>
        <w:rPr>
          <w:sz w:val="18"/>
          <w:szCs w:val="18"/>
        </w:rPr>
        <w:t xml:space="preserve">The minimum duration of the KTF is 12 months. The maximal duration is 24 months, or (if earlier) until the date that a (personal) grant awarded by an external funding agency can take effect. Part-time employment (limited to 0.7 FTE) is possible. The duration of the fellowship </w:t>
      </w:r>
      <w:proofErr w:type="gramStart"/>
      <w:r>
        <w:rPr>
          <w:sz w:val="18"/>
          <w:szCs w:val="18"/>
        </w:rPr>
        <w:t>can be extended</w:t>
      </w:r>
      <w:proofErr w:type="gramEnd"/>
      <w:r>
        <w:rPr>
          <w:sz w:val="18"/>
          <w:szCs w:val="18"/>
        </w:rPr>
        <w:t xml:space="preserve"> pro-rata. The fellowship must commence within six months of the grant award, or on the day of written approval of the PhD thesis (in case the award precedes thesis approval). </w:t>
      </w:r>
    </w:p>
    <w:p w14:paraId="177EED8B" w14:textId="77777777" w:rsidR="009A3DC1" w:rsidRDefault="009A3DC1" w:rsidP="00125BD7">
      <w:pPr>
        <w:pStyle w:val="Default"/>
        <w:rPr>
          <w:sz w:val="18"/>
          <w:szCs w:val="18"/>
        </w:rPr>
      </w:pPr>
    </w:p>
    <w:p w14:paraId="7B6B9967" w14:textId="77777777" w:rsidR="00125BD7" w:rsidRDefault="00125BD7" w:rsidP="00125BD7">
      <w:pPr>
        <w:pStyle w:val="Default"/>
        <w:rPr>
          <w:sz w:val="18"/>
          <w:szCs w:val="18"/>
        </w:rPr>
      </w:pPr>
      <w:r>
        <w:rPr>
          <w:sz w:val="18"/>
          <w:szCs w:val="18"/>
        </w:rPr>
        <w:t xml:space="preserve">The KTF will match half (50%) of each of the following costs, the remaining 50% </w:t>
      </w:r>
      <w:proofErr w:type="gramStart"/>
      <w:r>
        <w:rPr>
          <w:sz w:val="18"/>
          <w:szCs w:val="18"/>
        </w:rPr>
        <w:t>should be matched</w:t>
      </w:r>
      <w:proofErr w:type="gramEnd"/>
      <w:r>
        <w:rPr>
          <w:sz w:val="18"/>
          <w:szCs w:val="18"/>
        </w:rPr>
        <w:t xml:space="preserve"> by the candidate’s School/Institute: </w:t>
      </w:r>
    </w:p>
    <w:p w14:paraId="69E8EF30" w14:textId="313883FB" w:rsidR="00125BD7" w:rsidRDefault="00125BD7" w:rsidP="00125BD7">
      <w:pPr>
        <w:pStyle w:val="Default"/>
        <w:rPr>
          <w:sz w:val="18"/>
          <w:szCs w:val="18"/>
        </w:rPr>
      </w:pPr>
      <w:r>
        <w:rPr>
          <w:sz w:val="18"/>
          <w:szCs w:val="18"/>
        </w:rPr>
        <w:t>• Salary costs - Scale 10-4 during the in the first year of the fell</w:t>
      </w:r>
      <w:r w:rsidR="0088495B">
        <w:rPr>
          <w:sz w:val="18"/>
          <w:szCs w:val="18"/>
        </w:rPr>
        <w:t>owship</w:t>
      </w:r>
      <w:r>
        <w:rPr>
          <w:sz w:val="18"/>
          <w:szCs w:val="18"/>
        </w:rPr>
        <w:t xml:space="preserve">, and if </w:t>
      </w:r>
    </w:p>
    <w:p w14:paraId="4C59038E" w14:textId="77777777" w:rsidR="00E477BB" w:rsidRPr="004E0FD8" w:rsidRDefault="00125BD7" w:rsidP="00125BD7">
      <w:pPr>
        <w:pStyle w:val="Default"/>
        <w:rPr>
          <w:sz w:val="18"/>
          <w:szCs w:val="18"/>
        </w:rPr>
      </w:pPr>
      <w:proofErr w:type="gramStart"/>
      <w:r w:rsidRPr="004E0FD8">
        <w:rPr>
          <w:sz w:val="18"/>
          <w:szCs w:val="18"/>
        </w:rPr>
        <w:t>applicable</w:t>
      </w:r>
      <w:proofErr w:type="gramEnd"/>
      <w:r w:rsidRPr="004E0FD8">
        <w:rPr>
          <w:sz w:val="18"/>
          <w:szCs w:val="18"/>
        </w:rPr>
        <w:t xml:space="preserve">, scale 10-5 during the </w:t>
      </w:r>
      <w:r w:rsidR="0088495B" w:rsidRPr="004E0FD8">
        <w:rPr>
          <w:sz w:val="18"/>
          <w:szCs w:val="18"/>
        </w:rPr>
        <w:t>second year (or part thereof)</w:t>
      </w:r>
      <w:r w:rsidRPr="004E0FD8">
        <w:rPr>
          <w:sz w:val="18"/>
          <w:szCs w:val="18"/>
        </w:rPr>
        <w:t xml:space="preserve">; </w:t>
      </w:r>
    </w:p>
    <w:p w14:paraId="282CFE7F" w14:textId="2870A9DD" w:rsidR="00125BD7" w:rsidRPr="004E0FD8" w:rsidRDefault="00E477BB" w:rsidP="00125BD7">
      <w:pPr>
        <w:pStyle w:val="Default"/>
        <w:rPr>
          <w:sz w:val="18"/>
          <w:szCs w:val="18"/>
        </w:rPr>
      </w:pPr>
      <w:r w:rsidRPr="004E0FD8">
        <w:rPr>
          <w:sz w:val="18"/>
          <w:szCs w:val="18"/>
        </w:rPr>
        <w:t xml:space="preserve">See: </w:t>
      </w:r>
      <w:hyperlink r:id="rId7" w:history="1">
        <w:r w:rsidR="004E0FD8" w:rsidRPr="00791C13">
          <w:rPr>
            <w:rStyle w:val="Hyperlink"/>
            <w:sz w:val="18"/>
            <w:szCs w:val="18"/>
          </w:rPr>
          <w:t>https://www.vsnu.nl/en_GB/cao-universiteiten.html</w:t>
        </w:r>
      </w:hyperlink>
      <w:r w:rsidR="004E0FD8">
        <w:rPr>
          <w:sz w:val="18"/>
          <w:szCs w:val="18"/>
        </w:rPr>
        <w:t xml:space="preserve"> </w:t>
      </w:r>
    </w:p>
    <w:p w14:paraId="612C23DA" w14:textId="45F1C5C3" w:rsidR="00125BD7" w:rsidRPr="004E0FD8" w:rsidRDefault="00125BD7" w:rsidP="00125BD7">
      <w:pPr>
        <w:pStyle w:val="Default"/>
        <w:rPr>
          <w:sz w:val="18"/>
          <w:szCs w:val="18"/>
        </w:rPr>
      </w:pPr>
      <w:r w:rsidRPr="004E0FD8">
        <w:rPr>
          <w:sz w:val="18"/>
          <w:szCs w:val="18"/>
        </w:rPr>
        <w:t xml:space="preserve">• Exploitation </w:t>
      </w:r>
      <w:proofErr w:type="gramStart"/>
      <w:r w:rsidRPr="004E0FD8">
        <w:rPr>
          <w:sz w:val="18"/>
          <w:szCs w:val="18"/>
        </w:rPr>
        <w:t>costs:</w:t>
      </w:r>
      <w:proofErr w:type="gramEnd"/>
      <w:r w:rsidRPr="004E0FD8">
        <w:rPr>
          <w:sz w:val="18"/>
          <w:szCs w:val="18"/>
        </w:rPr>
        <w:t xml:space="preserve"> €6</w:t>
      </w:r>
      <w:r w:rsidR="00A3079A" w:rsidRPr="004E0FD8">
        <w:rPr>
          <w:sz w:val="18"/>
          <w:szCs w:val="18"/>
        </w:rPr>
        <w:t>.</w:t>
      </w:r>
      <w:r w:rsidRPr="004E0FD8">
        <w:rPr>
          <w:sz w:val="18"/>
          <w:szCs w:val="18"/>
        </w:rPr>
        <w:t>000 per year</w:t>
      </w:r>
      <w:r w:rsidR="0088495B" w:rsidRPr="004E0FD8">
        <w:rPr>
          <w:sz w:val="18"/>
          <w:szCs w:val="18"/>
        </w:rPr>
        <w:t xml:space="preserve"> (max. 2 years)</w:t>
      </w:r>
      <w:r w:rsidRPr="004E0FD8">
        <w:rPr>
          <w:sz w:val="18"/>
          <w:szCs w:val="18"/>
        </w:rPr>
        <w:t xml:space="preserve">. </w:t>
      </w:r>
    </w:p>
    <w:p w14:paraId="75685A9A" w14:textId="77777777" w:rsidR="00265740" w:rsidRDefault="00265740" w:rsidP="00125BD7">
      <w:pPr>
        <w:pStyle w:val="Default"/>
        <w:rPr>
          <w:b/>
          <w:bCs/>
          <w:sz w:val="18"/>
          <w:szCs w:val="18"/>
        </w:rPr>
      </w:pPr>
    </w:p>
    <w:tbl>
      <w:tblPr>
        <w:tblStyle w:val="TableGrid"/>
        <w:tblW w:w="0" w:type="auto"/>
        <w:tblLook w:val="04A0" w:firstRow="1" w:lastRow="0" w:firstColumn="1" w:lastColumn="0" w:noHBand="0" w:noVBand="1"/>
      </w:tblPr>
      <w:tblGrid>
        <w:gridCol w:w="9016"/>
      </w:tblGrid>
      <w:tr w:rsidR="009A3DC1" w14:paraId="392E023F" w14:textId="77777777" w:rsidTr="009A3DC1">
        <w:tc>
          <w:tcPr>
            <w:tcW w:w="9016" w:type="dxa"/>
          </w:tcPr>
          <w:p w14:paraId="30EE187B" w14:textId="77777777" w:rsidR="009A3DC1" w:rsidRDefault="009A3DC1" w:rsidP="009A3DC1">
            <w:pPr>
              <w:pStyle w:val="Default"/>
              <w:rPr>
                <w:b/>
                <w:bCs/>
                <w:sz w:val="18"/>
                <w:szCs w:val="18"/>
              </w:rPr>
            </w:pPr>
            <w:r>
              <w:rPr>
                <w:b/>
                <w:bCs/>
                <w:sz w:val="18"/>
                <w:szCs w:val="18"/>
              </w:rPr>
              <w:t xml:space="preserve">Application guidelines </w:t>
            </w:r>
          </w:p>
        </w:tc>
      </w:tr>
    </w:tbl>
    <w:p w14:paraId="35190361" w14:textId="77777777" w:rsidR="00265740" w:rsidRDefault="00265740" w:rsidP="00125BD7">
      <w:pPr>
        <w:pStyle w:val="Default"/>
        <w:rPr>
          <w:b/>
          <w:bCs/>
          <w:sz w:val="18"/>
          <w:szCs w:val="18"/>
        </w:rPr>
      </w:pPr>
    </w:p>
    <w:p w14:paraId="1BA36793" w14:textId="754A627E" w:rsidR="00125BD7" w:rsidRDefault="00125BD7" w:rsidP="00125BD7">
      <w:pPr>
        <w:pStyle w:val="Default"/>
        <w:rPr>
          <w:sz w:val="18"/>
          <w:szCs w:val="18"/>
        </w:rPr>
      </w:pPr>
      <w:r>
        <w:rPr>
          <w:sz w:val="18"/>
          <w:szCs w:val="18"/>
        </w:rPr>
        <w:t xml:space="preserve">The application deadlines for the KTF are </w:t>
      </w:r>
      <w:r w:rsidR="00A0401A">
        <w:rPr>
          <w:sz w:val="18"/>
          <w:szCs w:val="18"/>
        </w:rPr>
        <w:t>April</w:t>
      </w:r>
      <w:r w:rsidR="00392835">
        <w:rPr>
          <w:sz w:val="18"/>
          <w:szCs w:val="18"/>
        </w:rPr>
        <w:t xml:space="preserve"> </w:t>
      </w:r>
      <w:r w:rsidR="001912AA">
        <w:rPr>
          <w:sz w:val="18"/>
          <w:szCs w:val="18"/>
        </w:rPr>
        <w:t>1</w:t>
      </w:r>
      <w:r w:rsidR="00200D18">
        <w:rPr>
          <w:sz w:val="18"/>
          <w:szCs w:val="18"/>
        </w:rPr>
        <w:t>,</w:t>
      </w:r>
      <w:r>
        <w:rPr>
          <w:sz w:val="18"/>
          <w:szCs w:val="18"/>
        </w:rPr>
        <w:t xml:space="preserve"> </w:t>
      </w:r>
      <w:r w:rsidR="00A0401A">
        <w:rPr>
          <w:sz w:val="18"/>
          <w:szCs w:val="18"/>
        </w:rPr>
        <w:t>2022</w:t>
      </w:r>
      <w:r w:rsidR="00242642">
        <w:rPr>
          <w:sz w:val="18"/>
          <w:szCs w:val="18"/>
        </w:rPr>
        <w:t xml:space="preserve"> </w:t>
      </w:r>
      <w:r w:rsidR="00200D18">
        <w:rPr>
          <w:sz w:val="18"/>
          <w:szCs w:val="18"/>
        </w:rPr>
        <w:t xml:space="preserve">and </w:t>
      </w:r>
      <w:r>
        <w:rPr>
          <w:sz w:val="18"/>
          <w:szCs w:val="18"/>
        </w:rPr>
        <w:t>October</w:t>
      </w:r>
      <w:r w:rsidR="00200D18">
        <w:rPr>
          <w:sz w:val="18"/>
          <w:szCs w:val="18"/>
        </w:rPr>
        <w:t xml:space="preserve"> 1,</w:t>
      </w:r>
      <w:r>
        <w:rPr>
          <w:sz w:val="18"/>
          <w:szCs w:val="18"/>
        </w:rPr>
        <w:t xml:space="preserve"> 202</w:t>
      </w:r>
      <w:r w:rsidR="00A0401A">
        <w:rPr>
          <w:sz w:val="18"/>
          <w:szCs w:val="18"/>
        </w:rPr>
        <w:t>2</w:t>
      </w:r>
      <w:r>
        <w:rPr>
          <w:sz w:val="18"/>
          <w:szCs w:val="18"/>
        </w:rPr>
        <w:t xml:space="preserve">. The application form </w:t>
      </w:r>
      <w:proofErr w:type="gramStart"/>
      <w:r>
        <w:rPr>
          <w:sz w:val="18"/>
          <w:szCs w:val="18"/>
        </w:rPr>
        <w:t>is attached</w:t>
      </w:r>
      <w:proofErr w:type="gramEnd"/>
      <w:r>
        <w:rPr>
          <w:sz w:val="18"/>
          <w:szCs w:val="18"/>
        </w:rPr>
        <w:t xml:space="preserve"> to this call. Applications </w:t>
      </w:r>
      <w:proofErr w:type="gramStart"/>
      <w:r>
        <w:rPr>
          <w:sz w:val="18"/>
          <w:szCs w:val="18"/>
        </w:rPr>
        <w:t>can be submitted</w:t>
      </w:r>
      <w:proofErr w:type="gramEnd"/>
      <w:r>
        <w:rPr>
          <w:sz w:val="18"/>
          <w:szCs w:val="18"/>
        </w:rPr>
        <w:t xml:space="preserve"> by email to the </w:t>
      </w:r>
      <w:r w:rsidR="00387A20">
        <w:rPr>
          <w:sz w:val="18"/>
          <w:szCs w:val="18"/>
        </w:rPr>
        <w:t>Grants Office</w:t>
      </w:r>
      <w:r>
        <w:rPr>
          <w:sz w:val="18"/>
          <w:szCs w:val="18"/>
        </w:rPr>
        <w:t xml:space="preserve"> of the Faculty of Health Medicine and Life (FHML) (</w:t>
      </w:r>
      <w:hyperlink r:id="rId8" w:history="1">
        <w:r w:rsidR="001D0DC0" w:rsidRPr="00E31310">
          <w:rPr>
            <w:rStyle w:val="Hyperlink"/>
            <w:sz w:val="18"/>
            <w:szCs w:val="18"/>
          </w:rPr>
          <w:t>grantsoffice-fhml@maastrichtuniversity.nl</w:t>
        </w:r>
      </w:hyperlink>
      <w:r w:rsidR="00955744">
        <w:rPr>
          <w:sz w:val="18"/>
          <w:szCs w:val="18"/>
        </w:rPr>
        <w:t>)</w:t>
      </w:r>
      <w:r w:rsidR="00086B3D">
        <w:rPr>
          <w:sz w:val="18"/>
          <w:szCs w:val="18"/>
        </w:rPr>
        <w:t>.</w:t>
      </w:r>
      <w:r>
        <w:rPr>
          <w:sz w:val="18"/>
          <w:szCs w:val="18"/>
        </w:rPr>
        <w:t xml:space="preserve"> </w:t>
      </w:r>
    </w:p>
    <w:p w14:paraId="66C922E1" w14:textId="42FC7E80" w:rsidR="00125BD7" w:rsidRDefault="00125BD7" w:rsidP="00125BD7">
      <w:pPr>
        <w:pStyle w:val="Default"/>
        <w:rPr>
          <w:sz w:val="18"/>
          <w:szCs w:val="18"/>
        </w:rPr>
      </w:pPr>
      <w:r>
        <w:rPr>
          <w:sz w:val="18"/>
          <w:szCs w:val="18"/>
        </w:rPr>
        <w:t xml:space="preserve">Please arrange to have the scientific director of the School/Institute confirm her/his willingness and ability to provide the 50% matching in a supporting letter. Without this </w:t>
      </w:r>
      <w:r w:rsidR="001F56F8">
        <w:rPr>
          <w:sz w:val="18"/>
          <w:szCs w:val="18"/>
        </w:rPr>
        <w:t>letter,</w:t>
      </w:r>
      <w:r>
        <w:rPr>
          <w:sz w:val="18"/>
          <w:szCs w:val="18"/>
        </w:rPr>
        <w:t xml:space="preserve"> your application is not eligible. </w:t>
      </w:r>
    </w:p>
    <w:p w14:paraId="4D4BFF95" w14:textId="77777777" w:rsidR="00125BD7" w:rsidRDefault="00125BD7" w:rsidP="00125BD7">
      <w:pPr>
        <w:pStyle w:val="Default"/>
        <w:rPr>
          <w:sz w:val="18"/>
          <w:szCs w:val="18"/>
        </w:rPr>
      </w:pPr>
      <w:r>
        <w:rPr>
          <w:sz w:val="18"/>
          <w:szCs w:val="18"/>
        </w:rPr>
        <w:t xml:space="preserve">PLEASE NOTE: The Schools/Institutes of FHML each have an internal selection process. Candidates are encouraged to inquire about this procedure in their own School/Institute. It is possible that the School/Institute has an internal deadline prior to the KTF closing date. </w:t>
      </w:r>
    </w:p>
    <w:p w14:paraId="7798DBE8" w14:textId="77777777" w:rsidR="009A3DC1" w:rsidRDefault="009A3DC1" w:rsidP="00125BD7">
      <w:pPr>
        <w:pStyle w:val="Default"/>
        <w:rPr>
          <w:sz w:val="18"/>
          <w:szCs w:val="18"/>
        </w:rPr>
      </w:pPr>
    </w:p>
    <w:p w14:paraId="3E3938E2" w14:textId="77777777" w:rsidR="00A3079A" w:rsidRDefault="00A3079A" w:rsidP="00125BD7">
      <w:pPr>
        <w:pStyle w:val="Default"/>
        <w:rPr>
          <w:sz w:val="18"/>
          <w:szCs w:val="18"/>
        </w:rPr>
      </w:pPr>
    </w:p>
    <w:p w14:paraId="34481BA1" w14:textId="77777777" w:rsidR="00A3079A" w:rsidRDefault="00A3079A" w:rsidP="00125BD7">
      <w:pPr>
        <w:pStyle w:val="Default"/>
        <w:rPr>
          <w:sz w:val="18"/>
          <w:szCs w:val="18"/>
        </w:rPr>
      </w:pPr>
    </w:p>
    <w:p w14:paraId="4D58CE0C" w14:textId="77777777" w:rsidR="00A3079A" w:rsidRDefault="00A3079A" w:rsidP="00125BD7">
      <w:pPr>
        <w:pStyle w:val="Default"/>
        <w:rPr>
          <w:sz w:val="18"/>
          <w:szCs w:val="18"/>
        </w:rPr>
      </w:pPr>
    </w:p>
    <w:p w14:paraId="62E5850A" w14:textId="77777777" w:rsidR="00A3079A" w:rsidRDefault="00A3079A" w:rsidP="00125BD7">
      <w:pPr>
        <w:pStyle w:val="Default"/>
        <w:rPr>
          <w:sz w:val="18"/>
          <w:szCs w:val="18"/>
        </w:rPr>
      </w:pPr>
    </w:p>
    <w:p w14:paraId="66368703" w14:textId="7DB5AFE3" w:rsidR="00A3079A" w:rsidRDefault="00A3079A" w:rsidP="00125BD7">
      <w:pPr>
        <w:pStyle w:val="Default"/>
        <w:rPr>
          <w:sz w:val="18"/>
          <w:szCs w:val="18"/>
        </w:rPr>
      </w:pPr>
    </w:p>
    <w:p w14:paraId="78FCEE8A" w14:textId="77777777" w:rsidR="00A0401A" w:rsidRDefault="00A0401A" w:rsidP="00125BD7">
      <w:pPr>
        <w:pStyle w:val="Default"/>
        <w:rPr>
          <w:sz w:val="18"/>
          <w:szCs w:val="18"/>
        </w:rPr>
      </w:pPr>
    </w:p>
    <w:p w14:paraId="54E67886" w14:textId="7F0B95E5" w:rsidR="00125BD7" w:rsidRDefault="00125BD7" w:rsidP="00125BD7">
      <w:pPr>
        <w:pStyle w:val="Default"/>
        <w:rPr>
          <w:rFonts w:ascii="Times New Roman" w:hAnsi="Times New Roman" w:cs="Times New Roman"/>
          <w:sz w:val="23"/>
          <w:szCs w:val="23"/>
        </w:rPr>
      </w:pPr>
      <w:r>
        <w:rPr>
          <w:sz w:val="18"/>
          <w:szCs w:val="18"/>
        </w:rPr>
        <w:t xml:space="preserve">The </w:t>
      </w:r>
      <w:r w:rsidR="000C7C64" w:rsidRPr="000C7C64">
        <w:rPr>
          <w:sz w:val="18"/>
          <w:szCs w:val="18"/>
        </w:rPr>
        <w:t xml:space="preserve">Executive Board Maastricht UMC+ </w:t>
      </w:r>
      <w:r>
        <w:rPr>
          <w:sz w:val="18"/>
          <w:szCs w:val="18"/>
        </w:rPr>
        <w:t xml:space="preserve">decides which applicants </w:t>
      </w:r>
      <w:proofErr w:type="gramStart"/>
      <w:r>
        <w:rPr>
          <w:sz w:val="18"/>
          <w:szCs w:val="18"/>
        </w:rPr>
        <w:t>will be awarded</w:t>
      </w:r>
      <w:proofErr w:type="gramEnd"/>
      <w:r>
        <w:rPr>
          <w:sz w:val="18"/>
          <w:szCs w:val="18"/>
        </w:rPr>
        <w:t xml:space="preserve"> the KTF. The Maastricht UMC</w:t>
      </w:r>
      <w:r>
        <w:rPr>
          <w:sz w:val="12"/>
          <w:szCs w:val="12"/>
        </w:rPr>
        <w:t xml:space="preserve">+ </w:t>
      </w:r>
      <w:r>
        <w:rPr>
          <w:sz w:val="18"/>
          <w:szCs w:val="18"/>
        </w:rPr>
        <w:t>Research Committee (WMUMC</w:t>
      </w:r>
      <w:r>
        <w:rPr>
          <w:sz w:val="12"/>
          <w:szCs w:val="12"/>
        </w:rPr>
        <w:t>+</w:t>
      </w:r>
      <w:r>
        <w:rPr>
          <w:sz w:val="18"/>
          <w:szCs w:val="18"/>
        </w:rPr>
        <w:t>) acts as an advisory board in the review process (more</w:t>
      </w:r>
      <w:r w:rsidR="00E477BB">
        <w:rPr>
          <w:sz w:val="18"/>
          <w:szCs w:val="18"/>
        </w:rPr>
        <w:t xml:space="preserve"> info see: </w:t>
      </w:r>
      <w:hyperlink r:id="rId9" w:history="1">
        <w:r w:rsidR="001D0DC0" w:rsidRPr="00E31310">
          <w:rPr>
            <w:rStyle w:val="Hyperlink"/>
            <w:sz w:val="18"/>
            <w:szCs w:val="18"/>
          </w:rPr>
          <w:t>https://www.maastrichtuniversity.n</w:t>
        </w:r>
        <w:r w:rsidR="001D0DC0" w:rsidRPr="00E31310">
          <w:rPr>
            <w:rStyle w:val="Hyperlink"/>
            <w:sz w:val="18"/>
            <w:szCs w:val="18"/>
          </w:rPr>
          <w:t>l</w:t>
        </w:r>
        <w:r w:rsidR="001D0DC0" w:rsidRPr="00E31310">
          <w:rPr>
            <w:rStyle w:val="Hyperlink"/>
            <w:sz w:val="18"/>
            <w:szCs w:val="18"/>
          </w:rPr>
          <w:t>/about-um/faculties/health-medicine-and-life-sciences/research/maastricht-umc-research-committee</w:t>
        </w:r>
      </w:hyperlink>
      <w:r>
        <w:rPr>
          <w:sz w:val="18"/>
          <w:szCs w:val="18"/>
        </w:rPr>
        <w:t xml:space="preserve">). The evaluation procedure </w:t>
      </w:r>
      <w:proofErr w:type="gramStart"/>
      <w:r>
        <w:rPr>
          <w:sz w:val="18"/>
          <w:szCs w:val="18"/>
        </w:rPr>
        <w:t>will be completed</w:t>
      </w:r>
      <w:proofErr w:type="gramEnd"/>
      <w:r>
        <w:rPr>
          <w:sz w:val="18"/>
          <w:szCs w:val="18"/>
        </w:rPr>
        <w:t xml:space="preserve"> within three months of the deadline. </w:t>
      </w:r>
    </w:p>
    <w:p w14:paraId="28AA7EE1" w14:textId="77777777" w:rsidR="009A3DC1" w:rsidRDefault="009A3DC1" w:rsidP="00265740"/>
    <w:tbl>
      <w:tblPr>
        <w:tblStyle w:val="TableGrid"/>
        <w:tblW w:w="0" w:type="auto"/>
        <w:tblLook w:val="04A0" w:firstRow="1" w:lastRow="0" w:firstColumn="1" w:lastColumn="0" w:noHBand="0" w:noVBand="1"/>
      </w:tblPr>
      <w:tblGrid>
        <w:gridCol w:w="9016"/>
      </w:tblGrid>
      <w:tr w:rsidR="009A3DC1" w14:paraId="2F352B74" w14:textId="77777777" w:rsidTr="009A3DC1">
        <w:tc>
          <w:tcPr>
            <w:tcW w:w="9016" w:type="dxa"/>
          </w:tcPr>
          <w:p w14:paraId="2FD23B2E" w14:textId="77777777" w:rsidR="009A3DC1" w:rsidRDefault="009A3DC1" w:rsidP="00265740">
            <w:pPr>
              <w:rPr>
                <w:b/>
                <w:bCs/>
              </w:rPr>
            </w:pPr>
            <w:r w:rsidRPr="009A3DC1">
              <w:rPr>
                <w:b/>
                <w:bCs/>
              </w:rPr>
              <w:t>Additional terms</w:t>
            </w:r>
          </w:p>
        </w:tc>
      </w:tr>
    </w:tbl>
    <w:p w14:paraId="25D0CF84" w14:textId="77777777" w:rsidR="009A3DC1" w:rsidRDefault="009A3DC1" w:rsidP="009A3DC1">
      <w:pPr>
        <w:pStyle w:val="Default"/>
        <w:rPr>
          <w:rFonts w:asciiTheme="minorHAnsi" w:hAnsiTheme="minorHAnsi" w:cstheme="minorBidi"/>
          <w:b/>
          <w:bCs/>
          <w:color w:val="auto"/>
          <w:sz w:val="22"/>
          <w:szCs w:val="22"/>
        </w:rPr>
      </w:pPr>
    </w:p>
    <w:p w14:paraId="56B5D4A4" w14:textId="77777777" w:rsidR="00265740" w:rsidRPr="009A3DC1" w:rsidRDefault="00265740" w:rsidP="009A3DC1">
      <w:pPr>
        <w:pStyle w:val="Default"/>
        <w:rPr>
          <w:sz w:val="18"/>
          <w:szCs w:val="18"/>
        </w:rPr>
      </w:pPr>
      <w:r w:rsidRPr="009A3DC1">
        <w:rPr>
          <w:sz w:val="18"/>
          <w:szCs w:val="18"/>
        </w:rPr>
        <w:t xml:space="preserve">The following additional conditions apply to the assessment of the applications: </w:t>
      </w:r>
    </w:p>
    <w:p w14:paraId="18AB81AE" w14:textId="77777777" w:rsidR="00265740" w:rsidRPr="009A3DC1" w:rsidRDefault="00265740" w:rsidP="009A3DC1">
      <w:pPr>
        <w:pStyle w:val="Default"/>
        <w:numPr>
          <w:ilvl w:val="0"/>
          <w:numId w:val="1"/>
        </w:numPr>
        <w:rPr>
          <w:sz w:val="18"/>
          <w:szCs w:val="18"/>
        </w:rPr>
      </w:pPr>
      <w:r w:rsidRPr="009A3DC1">
        <w:rPr>
          <w:sz w:val="18"/>
          <w:szCs w:val="18"/>
        </w:rPr>
        <w:t xml:space="preserve">Applications </w:t>
      </w:r>
      <w:proofErr w:type="gramStart"/>
      <w:r w:rsidRPr="009A3DC1">
        <w:rPr>
          <w:sz w:val="18"/>
          <w:szCs w:val="18"/>
        </w:rPr>
        <w:t>are made</w:t>
      </w:r>
      <w:proofErr w:type="gramEnd"/>
      <w:r w:rsidRPr="009A3DC1">
        <w:rPr>
          <w:sz w:val="18"/>
          <w:szCs w:val="18"/>
        </w:rPr>
        <w:t xml:space="preserve"> by individual researchers (and not by duos or (research) groups). </w:t>
      </w:r>
    </w:p>
    <w:p w14:paraId="069AAB7C" w14:textId="77777777" w:rsidR="00265740" w:rsidRPr="009A3DC1" w:rsidRDefault="00265740" w:rsidP="009A3DC1">
      <w:pPr>
        <w:pStyle w:val="Default"/>
        <w:numPr>
          <w:ilvl w:val="0"/>
          <w:numId w:val="1"/>
        </w:numPr>
        <w:rPr>
          <w:sz w:val="18"/>
          <w:szCs w:val="18"/>
        </w:rPr>
      </w:pPr>
      <w:r w:rsidRPr="009A3DC1">
        <w:rPr>
          <w:sz w:val="18"/>
          <w:szCs w:val="18"/>
        </w:rPr>
        <w:t xml:space="preserve">A candidate is allowed </w:t>
      </w:r>
    </w:p>
    <w:p w14:paraId="76B15B28" w14:textId="77777777" w:rsidR="00265740" w:rsidRPr="009A3DC1" w:rsidRDefault="00265740" w:rsidP="009A3DC1">
      <w:pPr>
        <w:pStyle w:val="Default"/>
        <w:ind w:firstLine="720"/>
        <w:rPr>
          <w:sz w:val="18"/>
          <w:szCs w:val="18"/>
        </w:rPr>
      </w:pPr>
      <w:proofErr w:type="gramStart"/>
      <w:r w:rsidRPr="009A3DC1">
        <w:rPr>
          <w:sz w:val="18"/>
          <w:szCs w:val="18"/>
        </w:rPr>
        <w:t>o</w:t>
      </w:r>
      <w:proofErr w:type="gramEnd"/>
      <w:r w:rsidRPr="009A3DC1">
        <w:rPr>
          <w:sz w:val="18"/>
          <w:szCs w:val="18"/>
        </w:rPr>
        <w:t xml:space="preserve"> to submit a maximum of one application per round; </w:t>
      </w:r>
    </w:p>
    <w:p w14:paraId="0D0306B2" w14:textId="77777777" w:rsidR="00265740" w:rsidRPr="009A3DC1" w:rsidRDefault="00265740" w:rsidP="009A3DC1">
      <w:pPr>
        <w:pStyle w:val="Default"/>
        <w:ind w:firstLine="720"/>
        <w:rPr>
          <w:sz w:val="18"/>
          <w:szCs w:val="18"/>
        </w:rPr>
      </w:pPr>
      <w:proofErr w:type="gramStart"/>
      <w:r w:rsidRPr="009A3DC1">
        <w:rPr>
          <w:sz w:val="18"/>
          <w:szCs w:val="18"/>
        </w:rPr>
        <w:t>o</w:t>
      </w:r>
      <w:proofErr w:type="gramEnd"/>
      <w:r w:rsidRPr="009A3DC1">
        <w:rPr>
          <w:sz w:val="18"/>
          <w:szCs w:val="18"/>
        </w:rPr>
        <w:t xml:space="preserve"> to submit an application twice for a KTF. </w:t>
      </w:r>
    </w:p>
    <w:p w14:paraId="48248333" w14:textId="0620971E" w:rsidR="00265740" w:rsidRPr="009A3DC1" w:rsidRDefault="00265740" w:rsidP="009A3DC1">
      <w:pPr>
        <w:pStyle w:val="Default"/>
        <w:ind w:left="720"/>
        <w:rPr>
          <w:sz w:val="18"/>
          <w:szCs w:val="18"/>
        </w:rPr>
      </w:pPr>
      <w:r w:rsidRPr="009A3DC1">
        <w:rPr>
          <w:sz w:val="18"/>
          <w:szCs w:val="18"/>
        </w:rPr>
        <w:t>Eligibility of proposals will be checked upon submission (e.g. all sections need to be completed within the set word limit; given recent changes in the application form, only applications using the 202</w:t>
      </w:r>
      <w:r w:rsidR="001F56F8">
        <w:rPr>
          <w:sz w:val="18"/>
          <w:szCs w:val="18"/>
        </w:rPr>
        <w:t>2</w:t>
      </w:r>
      <w:r w:rsidRPr="009A3DC1">
        <w:rPr>
          <w:sz w:val="18"/>
          <w:szCs w:val="18"/>
        </w:rPr>
        <w:t xml:space="preserve"> form are admissible). PLEASE NOTE: In case the word limit </w:t>
      </w:r>
      <w:proofErr w:type="gramStart"/>
      <w:r w:rsidRPr="009A3DC1">
        <w:rPr>
          <w:sz w:val="18"/>
          <w:szCs w:val="18"/>
        </w:rPr>
        <w:t>is exceeded</w:t>
      </w:r>
      <w:proofErr w:type="gramEnd"/>
      <w:r w:rsidRPr="009A3DC1">
        <w:rPr>
          <w:sz w:val="18"/>
          <w:szCs w:val="18"/>
        </w:rPr>
        <w:t xml:space="preserve">, applications will not be taken into consideration. </w:t>
      </w:r>
    </w:p>
    <w:p w14:paraId="3BCA1FA2" w14:textId="77777777" w:rsidR="009A3DC1" w:rsidRDefault="00265740" w:rsidP="009A3DC1">
      <w:pPr>
        <w:pStyle w:val="Default"/>
        <w:numPr>
          <w:ilvl w:val="0"/>
          <w:numId w:val="2"/>
        </w:numPr>
        <w:rPr>
          <w:sz w:val="18"/>
          <w:szCs w:val="18"/>
        </w:rPr>
      </w:pPr>
      <w:r w:rsidRPr="009A3DC1">
        <w:rPr>
          <w:sz w:val="18"/>
          <w:szCs w:val="18"/>
        </w:rPr>
        <w:t xml:space="preserve">If an application taken into consideration </w:t>
      </w:r>
      <w:proofErr w:type="gramStart"/>
      <w:r w:rsidRPr="009A3DC1">
        <w:rPr>
          <w:sz w:val="18"/>
          <w:szCs w:val="18"/>
        </w:rPr>
        <w:t>is withdrawn</w:t>
      </w:r>
      <w:proofErr w:type="gramEnd"/>
      <w:r w:rsidRPr="009A3DC1">
        <w:rPr>
          <w:sz w:val="18"/>
          <w:szCs w:val="18"/>
        </w:rPr>
        <w:t xml:space="preserve"> during the assessment process, this submission counts towards the maximum numbe</w:t>
      </w:r>
      <w:r w:rsidR="009A3DC1">
        <w:rPr>
          <w:sz w:val="18"/>
          <w:szCs w:val="18"/>
        </w:rPr>
        <w:t>r of submissions per applicant.</w:t>
      </w:r>
    </w:p>
    <w:p w14:paraId="542C571A" w14:textId="77777777" w:rsidR="009A3DC1" w:rsidRDefault="00265740" w:rsidP="009A3DC1">
      <w:pPr>
        <w:pStyle w:val="Default"/>
        <w:numPr>
          <w:ilvl w:val="0"/>
          <w:numId w:val="2"/>
        </w:numPr>
        <w:rPr>
          <w:sz w:val="18"/>
          <w:szCs w:val="18"/>
        </w:rPr>
      </w:pPr>
      <w:r w:rsidRPr="009A3DC1">
        <w:rPr>
          <w:sz w:val="18"/>
          <w:szCs w:val="18"/>
        </w:rPr>
        <w:t xml:space="preserve">Researchers awarded a KTF (for postdocs) cannot reapply. </w:t>
      </w:r>
    </w:p>
    <w:p w14:paraId="441664B3" w14:textId="40748072" w:rsidR="009A3DC1" w:rsidRDefault="00265740" w:rsidP="009A3DC1">
      <w:pPr>
        <w:pStyle w:val="Default"/>
        <w:numPr>
          <w:ilvl w:val="0"/>
          <w:numId w:val="2"/>
        </w:numPr>
        <w:rPr>
          <w:sz w:val="18"/>
          <w:szCs w:val="18"/>
        </w:rPr>
      </w:pPr>
      <w:r w:rsidRPr="009A3DC1">
        <w:rPr>
          <w:sz w:val="18"/>
          <w:szCs w:val="18"/>
        </w:rPr>
        <w:t xml:space="preserve">The funds </w:t>
      </w:r>
      <w:proofErr w:type="gramStart"/>
      <w:r w:rsidRPr="009A3DC1">
        <w:rPr>
          <w:sz w:val="18"/>
          <w:szCs w:val="18"/>
        </w:rPr>
        <w:t>are earmarked</w:t>
      </w:r>
      <w:proofErr w:type="gramEnd"/>
      <w:r w:rsidRPr="009A3DC1">
        <w:rPr>
          <w:sz w:val="18"/>
          <w:szCs w:val="18"/>
        </w:rPr>
        <w:t xml:space="preserve"> for the relevant candidate and cannot be transferred to other persons. After tenure of the KTF, laureates are required to submit a final report to the Board of the FHML (</w:t>
      </w:r>
      <w:hyperlink r:id="rId10" w:history="1">
        <w:r w:rsidR="001F56F8" w:rsidRPr="008B7B40">
          <w:rPr>
            <w:rStyle w:val="Hyperlink"/>
            <w:sz w:val="18"/>
            <w:szCs w:val="18"/>
          </w:rPr>
          <w:t>grantsoffice-fhml@maastrichtuniversity.nl</w:t>
        </w:r>
      </w:hyperlink>
      <w:r w:rsidR="001F56F8">
        <w:rPr>
          <w:sz w:val="18"/>
          <w:szCs w:val="18"/>
        </w:rPr>
        <w:t>).</w:t>
      </w:r>
    </w:p>
    <w:p w14:paraId="2A220237" w14:textId="77777777" w:rsidR="009A3DC1" w:rsidRDefault="00265740" w:rsidP="009A3DC1">
      <w:pPr>
        <w:pStyle w:val="Default"/>
        <w:numPr>
          <w:ilvl w:val="0"/>
          <w:numId w:val="2"/>
        </w:numPr>
        <w:rPr>
          <w:sz w:val="18"/>
          <w:szCs w:val="18"/>
        </w:rPr>
      </w:pPr>
      <w:r w:rsidRPr="009A3DC1">
        <w:rPr>
          <w:sz w:val="18"/>
          <w:szCs w:val="18"/>
        </w:rPr>
        <w:t xml:space="preserve">The final report must outline which grants </w:t>
      </w:r>
      <w:proofErr w:type="gramStart"/>
      <w:r w:rsidRPr="009A3DC1">
        <w:rPr>
          <w:sz w:val="18"/>
          <w:szCs w:val="18"/>
        </w:rPr>
        <w:t>have been applied</w:t>
      </w:r>
      <w:proofErr w:type="gramEnd"/>
      <w:r w:rsidRPr="009A3DC1">
        <w:rPr>
          <w:sz w:val="18"/>
          <w:szCs w:val="18"/>
        </w:rPr>
        <w:t xml:space="preserve"> for and which grants have been awarded. In addition, please address the research plan, goal(s) and hypotheses, and timeline as described in the application. The evaluation </w:t>
      </w:r>
      <w:proofErr w:type="gramStart"/>
      <w:r w:rsidRPr="009A3DC1">
        <w:rPr>
          <w:sz w:val="18"/>
          <w:szCs w:val="18"/>
        </w:rPr>
        <w:t>must be submitted</w:t>
      </w:r>
      <w:proofErr w:type="gramEnd"/>
      <w:r w:rsidRPr="009A3DC1">
        <w:rPr>
          <w:sz w:val="18"/>
          <w:szCs w:val="18"/>
        </w:rPr>
        <w:t xml:space="preserve"> within 6 months after the end of the fellowship. </w:t>
      </w:r>
    </w:p>
    <w:p w14:paraId="41C09336" w14:textId="152329E0" w:rsidR="00265740" w:rsidRDefault="00265740" w:rsidP="00265740">
      <w:pPr>
        <w:pStyle w:val="Default"/>
        <w:numPr>
          <w:ilvl w:val="0"/>
          <w:numId w:val="2"/>
        </w:numPr>
        <w:rPr>
          <w:sz w:val="18"/>
          <w:szCs w:val="18"/>
        </w:rPr>
      </w:pPr>
      <w:r w:rsidRPr="009A3DC1">
        <w:rPr>
          <w:sz w:val="18"/>
          <w:szCs w:val="18"/>
        </w:rPr>
        <w:t xml:space="preserve">A candidate can spend up to 50% of the duration of the fellowship abroad. Please note that a work visit abroad is not obligatory. </w:t>
      </w:r>
    </w:p>
    <w:p w14:paraId="010A43A1" w14:textId="77777777" w:rsidR="006038E4" w:rsidRPr="006038E4" w:rsidRDefault="006038E4" w:rsidP="006038E4">
      <w:pPr>
        <w:pStyle w:val="Default"/>
        <w:rPr>
          <w:sz w:val="18"/>
          <w:szCs w:val="18"/>
        </w:rPr>
      </w:pPr>
    </w:p>
    <w:tbl>
      <w:tblPr>
        <w:tblStyle w:val="TableGrid"/>
        <w:tblW w:w="0" w:type="auto"/>
        <w:tblLook w:val="04A0" w:firstRow="1" w:lastRow="0" w:firstColumn="1" w:lastColumn="0" w:noHBand="0" w:noVBand="1"/>
      </w:tblPr>
      <w:tblGrid>
        <w:gridCol w:w="9016"/>
      </w:tblGrid>
      <w:tr w:rsidR="009A3DC1" w14:paraId="06825A75" w14:textId="77777777" w:rsidTr="009A3DC1">
        <w:tc>
          <w:tcPr>
            <w:tcW w:w="9016" w:type="dxa"/>
          </w:tcPr>
          <w:p w14:paraId="13DC53AA" w14:textId="77777777" w:rsidR="009A3DC1" w:rsidRDefault="009A3DC1" w:rsidP="00265740">
            <w:pPr>
              <w:rPr>
                <w:b/>
                <w:bCs/>
              </w:rPr>
            </w:pPr>
            <w:r w:rsidRPr="009A3DC1">
              <w:rPr>
                <w:b/>
                <w:bCs/>
              </w:rPr>
              <w:t>Extension clause</w:t>
            </w:r>
          </w:p>
        </w:tc>
      </w:tr>
    </w:tbl>
    <w:p w14:paraId="51D4E8BC" w14:textId="77777777" w:rsidR="009A3DC1" w:rsidRDefault="009A3DC1" w:rsidP="009A3DC1">
      <w:pPr>
        <w:pStyle w:val="Default"/>
        <w:rPr>
          <w:rFonts w:asciiTheme="minorHAnsi" w:hAnsiTheme="minorHAnsi" w:cstheme="minorBidi"/>
          <w:b/>
          <w:bCs/>
          <w:color w:val="auto"/>
          <w:sz w:val="22"/>
          <w:szCs w:val="22"/>
        </w:rPr>
      </w:pPr>
    </w:p>
    <w:p w14:paraId="17B9C19B" w14:textId="3F9F4FAE" w:rsidR="009A3DC1" w:rsidRDefault="00265740" w:rsidP="006038E4">
      <w:pPr>
        <w:pStyle w:val="Default"/>
        <w:rPr>
          <w:sz w:val="18"/>
          <w:szCs w:val="18"/>
        </w:rPr>
      </w:pPr>
      <w:r w:rsidRPr="009A3DC1">
        <w:rPr>
          <w:sz w:val="18"/>
          <w:szCs w:val="18"/>
        </w:rPr>
        <w:t>The maximum career deadline (</w:t>
      </w:r>
      <w:proofErr w:type="gramStart"/>
      <w:r w:rsidRPr="009A3DC1">
        <w:rPr>
          <w:sz w:val="18"/>
          <w:szCs w:val="18"/>
        </w:rPr>
        <w:t>1 year</w:t>
      </w:r>
      <w:proofErr w:type="gramEnd"/>
      <w:r w:rsidRPr="009A3DC1">
        <w:rPr>
          <w:sz w:val="18"/>
          <w:szCs w:val="18"/>
        </w:rPr>
        <w:t xml:space="preserve"> post PhD </w:t>
      </w:r>
      <w:proofErr w:type="spellStart"/>
      <w:r w:rsidRPr="009A3DC1">
        <w:rPr>
          <w:sz w:val="18"/>
          <w:szCs w:val="18"/>
        </w:rPr>
        <w:t>defense</w:t>
      </w:r>
      <w:proofErr w:type="spellEnd"/>
      <w:r w:rsidRPr="009A3DC1">
        <w:rPr>
          <w:sz w:val="18"/>
          <w:szCs w:val="18"/>
        </w:rPr>
        <w:t xml:space="preserve">) can be extended by the board of FHML if the candidate has taken extended sick, parental, maternity or care leave. The maximum extension that </w:t>
      </w:r>
      <w:proofErr w:type="gramStart"/>
      <w:r w:rsidRPr="009A3DC1">
        <w:rPr>
          <w:sz w:val="18"/>
          <w:szCs w:val="18"/>
        </w:rPr>
        <w:t>may be granted</w:t>
      </w:r>
      <w:proofErr w:type="gramEnd"/>
      <w:r w:rsidRPr="009A3DC1">
        <w:rPr>
          <w:sz w:val="18"/>
          <w:szCs w:val="18"/>
        </w:rPr>
        <w:t xml:space="preserve"> to any particular applicant is one year. If you wish to apply for extension, please contact the Board of the Faculty of Health Medicine and Life before submitting your grant application (</w:t>
      </w:r>
      <w:hyperlink r:id="rId11" w:history="1">
        <w:r w:rsidR="001F56F8" w:rsidRPr="008B7B40">
          <w:rPr>
            <w:rStyle w:val="Hyperlink"/>
            <w:sz w:val="18"/>
            <w:szCs w:val="18"/>
          </w:rPr>
          <w:t>grantsoffice-fhml@maastrichtuniversity.nl</w:t>
        </w:r>
      </w:hyperlink>
      <w:r w:rsidR="001F56F8">
        <w:rPr>
          <w:sz w:val="18"/>
          <w:szCs w:val="18"/>
        </w:rPr>
        <w:t>).</w:t>
      </w:r>
      <w:r w:rsidRPr="009A3DC1">
        <w:rPr>
          <w:sz w:val="18"/>
          <w:szCs w:val="18"/>
        </w:rPr>
        <w:t xml:space="preserve"> </w:t>
      </w:r>
    </w:p>
    <w:p w14:paraId="5DC0A272" w14:textId="77777777" w:rsidR="006038E4" w:rsidRPr="006038E4" w:rsidRDefault="006038E4" w:rsidP="006038E4">
      <w:pPr>
        <w:pStyle w:val="Default"/>
        <w:rPr>
          <w:sz w:val="18"/>
          <w:szCs w:val="18"/>
        </w:rPr>
      </w:pPr>
    </w:p>
    <w:tbl>
      <w:tblPr>
        <w:tblStyle w:val="TableGrid"/>
        <w:tblW w:w="0" w:type="auto"/>
        <w:tblLook w:val="04A0" w:firstRow="1" w:lastRow="0" w:firstColumn="1" w:lastColumn="0" w:noHBand="0" w:noVBand="1"/>
      </w:tblPr>
      <w:tblGrid>
        <w:gridCol w:w="9016"/>
      </w:tblGrid>
      <w:tr w:rsidR="009A3DC1" w14:paraId="0FD291A9" w14:textId="77777777" w:rsidTr="009A3DC1">
        <w:tc>
          <w:tcPr>
            <w:tcW w:w="9016" w:type="dxa"/>
          </w:tcPr>
          <w:p w14:paraId="4C450B62" w14:textId="77777777" w:rsidR="009A3DC1" w:rsidRDefault="00A3079A" w:rsidP="00265740">
            <w:pPr>
              <w:rPr>
                <w:b/>
                <w:bCs/>
              </w:rPr>
            </w:pPr>
            <w:r>
              <w:rPr>
                <w:b/>
                <w:bCs/>
              </w:rPr>
              <w:t>Criteria</w:t>
            </w:r>
          </w:p>
        </w:tc>
      </w:tr>
    </w:tbl>
    <w:p w14:paraId="1C2AB8D1" w14:textId="77777777" w:rsidR="009A3DC1" w:rsidRDefault="009A3DC1" w:rsidP="009A3DC1">
      <w:pPr>
        <w:pStyle w:val="Default"/>
        <w:rPr>
          <w:rFonts w:asciiTheme="minorHAnsi" w:hAnsiTheme="minorHAnsi" w:cstheme="minorBidi"/>
          <w:b/>
          <w:bCs/>
          <w:color w:val="auto"/>
          <w:sz w:val="22"/>
          <w:szCs w:val="22"/>
        </w:rPr>
      </w:pPr>
    </w:p>
    <w:p w14:paraId="2E00FB26" w14:textId="77777777" w:rsidR="00265740" w:rsidRPr="009A3DC1" w:rsidRDefault="00265740" w:rsidP="009A3DC1">
      <w:pPr>
        <w:pStyle w:val="Default"/>
        <w:rPr>
          <w:sz w:val="18"/>
          <w:szCs w:val="18"/>
        </w:rPr>
      </w:pPr>
      <w:r w:rsidRPr="009A3DC1">
        <w:rPr>
          <w:sz w:val="18"/>
          <w:szCs w:val="18"/>
        </w:rPr>
        <w:t xml:space="preserve">All KTF proposals </w:t>
      </w:r>
      <w:proofErr w:type="gramStart"/>
      <w:r w:rsidRPr="009A3DC1">
        <w:rPr>
          <w:sz w:val="18"/>
          <w:szCs w:val="18"/>
        </w:rPr>
        <w:t>will be assessed</w:t>
      </w:r>
      <w:proofErr w:type="gramEnd"/>
      <w:r w:rsidRPr="009A3DC1">
        <w:rPr>
          <w:sz w:val="18"/>
          <w:szCs w:val="18"/>
        </w:rPr>
        <w:t xml:space="preserve"> according to the following criteria: </w:t>
      </w:r>
    </w:p>
    <w:p w14:paraId="5E15F507" w14:textId="7E7554E1" w:rsidR="00265740" w:rsidRPr="009A3DC1" w:rsidRDefault="00771A45" w:rsidP="009A3DC1">
      <w:pPr>
        <w:pStyle w:val="Default"/>
        <w:rPr>
          <w:sz w:val="18"/>
          <w:szCs w:val="18"/>
        </w:rPr>
      </w:pPr>
      <w:r>
        <w:rPr>
          <w:sz w:val="18"/>
          <w:szCs w:val="18"/>
        </w:rPr>
        <w:t>A</w:t>
      </w:r>
      <w:r w:rsidR="00265740" w:rsidRPr="009A3DC1">
        <w:rPr>
          <w:sz w:val="18"/>
          <w:szCs w:val="18"/>
        </w:rPr>
        <w:t xml:space="preserve">. Quality, innovative character and academic impact of the proposed research (40%) </w:t>
      </w:r>
    </w:p>
    <w:p w14:paraId="3123DD45" w14:textId="0167CF11" w:rsidR="001F1F7B" w:rsidRDefault="001F1F7B" w:rsidP="009A3DC1">
      <w:pPr>
        <w:pStyle w:val="Default"/>
        <w:numPr>
          <w:ilvl w:val="0"/>
          <w:numId w:val="4"/>
        </w:numPr>
        <w:rPr>
          <w:sz w:val="18"/>
          <w:szCs w:val="18"/>
        </w:rPr>
      </w:pPr>
      <w:r>
        <w:rPr>
          <w:sz w:val="18"/>
          <w:szCs w:val="18"/>
        </w:rPr>
        <w:t>Independent research ideas</w:t>
      </w:r>
    </w:p>
    <w:p w14:paraId="0B65F912" w14:textId="50E30AD8" w:rsidR="00D6786E" w:rsidRDefault="00265740" w:rsidP="009A3DC1">
      <w:pPr>
        <w:pStyle w:val="Default"/>
        <w:numPr>
          <w:ilvl w:val="0"/>
          <w:numId w:val="4"/>
        </w:numPr>
        <w:rPr>
          <w:sz w:val="18"/>
          <w:szCs w:val="18"/>
        </w:rPr>
      </w:pPr>
      <w:r w:rsidRPr="009A3DC1">
        <w:rPr>
          <w:sz w:val="18"/>
          <w:szCs w:val="18"/>
        </w:rPr>
        <w:t xml:space="preserve">Challenging content; </w:t>
      </w:r>
    </w:p>
    <w:p w14:paraId="6210CDC0" w14:textId="77777777" w:rsidR="00D6786E" w:rsidRDefault="00265740" w:rsidP="009A3DC1">
      <w:pPr>
        <w:pStyle w:val="Default"/>
        <w:numPr>
          <w:ilvl w:val="0"/>
          <w:numId w:val="4"/>
        </w:numPr>
        <w:rPr>
          <w:sz w:val="18"/>
          <w:szCs w:val="18"/>
        </w:rPr>
      </w:pPr>
      <w:r w:rsidRPr="00D6786E">
        <w:rPr>
          <w:sz w:val="18"/>
          <w:szCs w:val="18"/>
        </w:rPr>
        <w:t xml:space="preserve">Originality of the topic; </w:t>
      </w:r>
    </w:p>
    <w:p w14:paraId="39B23104" w14:textId="77777777" w:rsidR="00D6786E" w:rsidRDefault="00265740" w:rsidP="009A3DC1">
      <w:pPr>
        <w:pStyle w:val="Default"/>
        <w:numPr>
          <w:ilvl w:val="0"/>
          <w:numId w:val="4"/>
        </w:numPr>
        <w:rPr>
          <w:sz w:val="18"/>
          <w:szCs w:val="18"/>
        </w:rPr>
      </w:pPr>
      <w:r w:rsidRPr="00D6786E">
        <w:rPr>
          <w:sz w:val="18"/>
          <w:szCs w:val="18"/>
        </w:rPr>
        <w:t xml:space="preserve">Innovative elements for Maastricht UMC+/School; </w:t>
      </w:r>
    </w:p>
    <w:p w14:paraId="040F405F" w14:textId="77777777" w:rsidR="00D6786E" w:rsidRDefault="00265740" w:rsidP="009A3DC1">
      <w:pPr>
        <w:pStyle w:val="Default"/>
        <w:numPr>
          <w:ilvl w:val="0"/>
          <w:numId w:val="4"/>
        </w:numPr>
        <w:rPr>
          <w:sz w:val="18"/>
          <w:szCs w:val="18"/>
        </w:rPr>
      </w:pPr>
      <w:r w:rsidRPr="00D6786E">
        <w:rPr>
          <w:sz w:val="18"/>
          <w:szCs w:val="18"/>
        </w:rPr>
        <w:t xml:space="preserve">Effectiveness of the proposed methodology; </w:t>
      </w:r>
    </w:p>
    <w:p w14:paraId="58252ECA" w14:textId="77777777" w:rsidR="00265740" w:rsidRPr="00D6786E" w:rsidRDefault="00265740" w:rsidP="009A3DC1">
      <w:pPr>
        <w:pStyle w:val="Default"/>
        <w:numPr>
          <w:ilvl w:val="0"/>
          <w:numId w:val="4"/>
        </w:numPr>
        <w:rPr>
          <w:sz w:val="18"/>
          <w:szCs w:val="18"/>
        </w:rPr>
      </w:pPr>
      <w:r w:rsidRPr="00D6786E">
        <w:rPr>
          <w:sz w:val="18"/>
          <w:szCs w:val="18"/>
        </w:rPr>
        <w:t xml:space="preserve">Knowledge utilization (scientific, societal and economic). </w:t>
      </w:r>
    </w:p>
    <w:p w14:paraId="2580D0A7" w14:textId="5CCD9E7B" w:rsidR="00265740" w:rsidRPr="009A3DC1" w:rsidRDefault="00771A45" w:rsidP="009A3DC1">
      <w:pPr>
        <w:pStyle w:val="Default"/>
        <w:rPr>
          <w:sz w:val="18"/>
          <w:szCs w:val="18"/>
        </w:rPr>
      </w:pPr>
      <w:r>
        <w:rPr>
          <w:sz w:val="18"/>
          <w:szCs w:val="18"/>
        </w:rPr>
        <w:t>B</w:t>
      </w:r>
      <w:r w:rsidR="00265740" w:rsidRPr="009A3DC1">
        <w:rPr>
          <w:sz w:val="18"/>
          <w:szCs w:val="18"/>
        </w:rPr>
        <w:t xml:space="preserve">. Personal vision and motivation (20%) </w:t>
      </w:r>
    </w:p>
    <w:p w14:paraId="59D16544" w14:textId="77777777" w:rsidR="00265740" w:rsidRPr="009A3DC1" w:rsidRDefault="00265740" w:rsidP="00D6786E">
      <w:pPr>
        <w:pStyle w:val="Default"/>
        <w:numPr>
          <w:ilvl w:val="0"/>
          <w:numId w:val="5"/>
        </w:numPr>
        <w:rPr>
          <w:sz w:val="18"/>
          <w:szCs w:val="18"/>
        </w:rPr>
      </w:pPr>
      <w:r w:rsidRPr="009A3DC1">
        <w:rPr>
          <w:sz w:val="18"/>
          <w:szCs w:val="18"/>
        </w:rPr>
        <w:t xml:space="preserve">Clear vision of the researcher about his/her place in science; </w:t>
      </w:r>
    </w:p>
    <w:p w14:paraId="5126D04C" w14:textId="77777777" w:rsidR="00D6786E" w:rsidRDefault="00265740" w:rsidP="00D6786E">
      <w:pPr>
        <w:pStyle w:val="Default"/>
        <w:numPr>
          <w:ilvl w:val="0"/>
          <w:numId w:val="5"/>
        </w:numPr>
        <w:rPr>
          <w:sz w:val="18"/>
          <w:szCs w:val="18"/>
        </w:rPr>
      </w:pPr>
      <w:r w:rsidRPr="009A3DC1">
        <w:rPr>
          <w:sz w:val="18"/>
          <w:szCs w:val="18"/>
        </w:rPr>
        <w:t xml:space="preserve">Clear link between proposed research and career vision; </w:t>
      </w:r>
    </w:p>
    <w:p w14:paraId="5911D158" w14:textId="77777777" w:rsidR="00D6786E" w:rsidRDefault="00265740" w:rsidP="009A3DC1">
      <w:pPr>
        <w:pStyle w:val="Default"/>
        <w:numPr>
          <w:ilvl w:val="0"/>
          <w:numId w:val="5"/>
        </w:numPr>
        <w:rPr>
          <w:sz w:val="18"/>
          <w:szCs w:val="18"/>
        </w:rPr>
      </w:pPr>
      <w:r w:rsidRPr="00D6786E">
        <w:rPr>
          <w:sz w:val="18"/>
          <w:szCs w:val="18"/>
        </w:rPr>
        <w:t xml:space="preserve">Appropriateness of short term (KTF) and long term (follow-up trajectory) career planning on vision for the future; </w:t>
      </w:r>
    </w:p>
    <w:p w14:paraId="1B98FFBA" w14:textId="77777777" w:rsidR="00D6786E" w:rsidRDefault="00265740" w:rsidP="009A3DC1">
      <w:pPr>
        <w:pStyle w:val="Default"/>
        <w:numPr>
          <w:ilvl w:val="0"/>
          <w:numId w:val="5"/>
        </w:numPr>
        <w:rPr>
          <w:sz w:val="18"/>
          <w:szCs w:val="18"/>
        </w:rPr>
      </w:pPr>
      <w:r w:rsidRPr="00D6786E">
        <w:rPr>
          <w:sz w:val="18"/>
          <w:szCs w:val="18"/>
        </w:rPr>
        <w:t xml:space="preserve">Contagious fascination for research; </w:t>
      </w:r>
    </w:p>
    <w:p w14:paraId="5797457B" w14:textId="77777777" w:rsidR="00265740" w:rsidRPr="00D6786E" w:rsidRDefault="00265740" w:rsidP="009A3DC1">
      <w:pPr>
        <w:pStyle w:val="Default"/>
        <w:numPr>
          <w:ilvl w:val="0"/>
          <w:numId w:val="5"/>
        </w:numPr>
        <w:rPr>
          <w:sz w:val="18"/>
          <w:szCs w:val="18"/>
        </w:rPr>
      </w:pPr>
      <w:r w:rsidRPr="00D6786E">
        <w:rPr>
          <w:sz w:val="18"/>
          <w:szCs w:val="18"/>
        </w:rPr>
        <w:t xml:space="preserve">Persuasiveness. </w:t>
      </w:r>
    </w:p>
    <w:p w14:paraId="61516163" w14:textId="77777777" w:rsidR="00265740" w:rsidRPr="009A3DC1" w:rsidRDefault="00265740" w:rsidP="009A3DC1">
      <w:pPr>
        <w:pStyle w:val="Default"/>
        <w:rPr>
          <w:sz w:val="18"/>
          <w:szCs w:val="18"/>
        </w:rPr>
      </w:pPr>
    </w:p>
    <w:p w14:paraId="36739082" w14:textId="626C7E46" w:rsidR="00771A45" w:rsidRDefault="00771A45" w:rsidP="009A3DC1">
      <w:pPr>
        <w:pStyle w:val="Default"/>
        <w:rPr>
          <w:sz w:val="18"/>
          <w:szCs w:val="18"/>
        </w:rPr>
      </w:pPr>
    </w:p>
    <w:p w14:paraId="78E30DAC" w14:textId="77777777" w:rsidR="006038E4" w:rsidRDefault="006038E4" w:rsidP="00771A45">
      <w:pPr>
        <w:autoSpaceDE w:val="0"/>
        <w:autoSpaceDN w:val="0"/>
        <w:adjustRightInd w:val="0"/>
        <w:spacing w:after="0" w:line="240" w:lineRule="auto"/>
        <w:rPr>
          <w:rFonts w:ascii="Verdana" w:hAnsi="Verdana" w:cs="Verdana"/>
          <w:color w:val="000000"/>
          <w:sz w:val="18"/>
          <w:szCs w:val="18"/>
        </w:rPr>
      </w:pPr>
    </w:p>
    <w:p w14:paraId="0A7BA4EB" w14:textId="14DCE252" w:rsidR="00771A45" w:rsidRPr="00771A45" w:rsidRDefault="00771A45" w:rsidP="00771A45">
      <w:pPr>
        <w:autoSpaceDE w:val="0"/>
        <w:autoSpaceDN w:val="0"/>
        <w:adjustRightInd w:val="0"/>
        <w:spacing w:after="0" w:line="240" w:lineRule="auto"/>
        <w:rPr>
          <w:rFonts w:ascii="Verdana" w:hAnsi="Verdana" w:cs="Verdana"/>
          <w:color w:val="000000"/>
          <w:sz w:val="18"/>
          <w:szCs w:val="18"/>
        </w:rPr>
      </w:pPr>
      <w:r w:rsidRPr="00771A45">
        <w:rPr>
          <w:rFonts w:ascii="Verdana" w:hAnsi="Verdana" w:cs="Verdana"/>
          <w:color w:val="000000"/>
          <w:sz w:val="18"/>
          <w:szCs w:val="18"/>
        </w:rPr>
        <w:t xml:space="preserve">C. Quality of the researcher (40%) </w:t>
      </w:r>
    </w:p>
    <w:p w14:paraId="44728F1B" w14:textId="77777777" w:rsidR="00771A45" w:rsidRPr="00771A45" w:rsidRDefault="00771A45" w:rsidP="00771A45">
      <w:pPr>
        <w:spacing w:after="0" w:line="240" w:lineRule="auto"/>
        <w:contextualSpacing/>
        <w:rPr>
          <w:rFonts w:ascii="Verdana" w:eastAsia="Times New Roman" w:hAnsi="Verdana" w:cs="Times New Roman"/>
          <w:sz w:val="18"/>
          <w:szCs w:val="18"/>
          <w:lang w:eastAsia="nl-NL"/>
        </w:rPr>
      </w:pPr>
      <w:r w:rsidRPr="00771A45">
        <w:rPr>
          <w:rFonts w:ascii="Verdana" w:eastAsia="Times New Roman" w:hAnsi="Verdana" w:cs="Times New Roman"/>
          <w:sz w:val="18"/>
          <w:szCs w:val="18"/>
          <w:lang w:eastAsia="nl-NL"/>
        </w:rPr>
        <w:t xml:space="preserve">In the top 25% of his/her international peer group. </w:t>
      </w:r>
    </w:p>
    <w:p w14:paraId="79E8E070" w14:textId="1740EA95" w:rsidR="00771A45" w:rsidRPr="00771A45" w:rsidRDefault="00771A45" w:rsidP="00771A45">
      <w:pPr>
        <w:spacing w:after="0" w:line="240" w:lineRule="auto"/>
        <w:contextualSpacing/>
        <w:rPr>
          <w:rFonts w:ascii="Verdana" w:eastAsia="Times New Roman" w:hAnsi="Verdana" w:cs="Times New Roman"/>
          <w:sz w:val="18"/>
          <w:szCs w:val="18"/>
          <w:lang w:eastAsia="nl-NL"/>
        </w:rPr>
      </w:pPr>
      <w:r w:rsidRPr="00771A45">
        <w:rPr>
          <w:rFonts w:ascii="Verdana" w:hAnsi="Verdana"/>
          <w:sz w:val="18"/>
          <w:szCs w:val="18"/>
          <w:lang w:eastAsia="nl-NL"/>
        </w:rPr>
        <w:t>Clear indications of an outstanding talent for academic research:</w:t>
      </w:r>
    </w:p>
    <w:p w14:paraId="75F71C86" w14:textId="77777777" w:rsidR="00771A45" w:rsidRPr="00771A45" w:rsidRDefault="00771A45" w:rsidP="00771A45">
      <w:pPr>
        <w:pStyle w:val="ListParagraph"/>
        <w:numPr>
          <w:ilvl w:val="0"/>
          <w:numId w:val="10"/>
        </w:numPr>
        <w:spacing w:after="0" w:line="240" w:lineRule="auto"/>
        <w:rPr>
          <w:rFonts w:ascii="Verdana" w:eastAsia="Times New Roman" w:hAnsi="Verdana" w:cs="Times New Roman"/>
          <w:sz w:val="18"/>
          <w:szCs w:val="18"/>
          <w:lang w:eastAsia="nl-NL"/>
        </w:rPr>
      </w:pPr>
      <w:r w:rsidRPr="00771A45">
        <w:rPr>
          <w:rFonts w:ascii="Verdana" w:eastAsia="Times New Roman" w:hAnsi="Verdana" w:cs="Times New Roman"/>
          <w:b/>
          <w:sz w:val="18"/>
          <w:szCs w:val="18"/>
          <w:lang w:eastAsia="nl-NL"/>
        </w:rPr>
        <w:t>Education.</w:t>
      </w:r>
      <w:r w:rsidRPr="00771A45">
        <w:rPr>
          <w:rFonts w:ascii="Verdana" w:eastAsia="Times New Roman" w:hAnsi="Verdana" w:cs="Times New Roman"/>
          <w:sz w:val="18"/>
          <w:szCs w:val="18"/>
          <w:lang w:eastAsia="nl-NL"/>
        </w:rPr>
        <w:t xml:space="preserve"> </w:t>
      </w:r>
    </w:p>
    <w:p w14:paraId="240E39FE" w14:textId="2CE03A44" w:rsidR="00771A45" w:rsidRPr="00771A45" w:rsidRDefault="00771A45" w:rsidP="00771A45">
      <w:pPr>
        <w:spacing w:after="0" w:line="240" w:lineRule="auto"/>
        <w:ind w:left="720"/>
        <w:contextualSpacing/>
        <w:rPr>
          <w:rFonts w:ascii="Verdana" w:eastAsia="Times New Roman" w:hAnsi="Verdana" w:cs="Times New Roman"/>
          <w:sz w:val="18"/>
          <w:szCs w:val="18"/>
          <w:lang w:eastAsia="nl-NL"/>
        </w:rPr>
      </w:pPr>
      <w:r w:rsidRPr="00771A45">
        <w:rPr>
          <w:rFonts w:ascii="Verdana" w:eastAsia="Times New Roman" w:hAnsi="Verdana" w:cs="Times New Roman"/>
          <w:sz w:val="18"/>
          <w:szCs w:val="18"/>
          <w:lang w:eastAsia="nl-NL"/>
        </w:rPr>
        <w:t xml:space="preserve">For </w:t>
      </w:r>
      <w:proofErr w:type="gramStart"/>
      <w:r w:rsidRPr="00771A45">
        <w:rPr>
          <w:rFonts w:ascii="Verdana" w:eastAsia="Times New Roman" w:hAnsi="Verdana" w:cs="Times New Roman"/>
          <w:sz w:val="18"/>
          <w:szCs w:val="18"/>
          <w:lang w:eastAsia="nl-NL"/>
        </w:rPr>
        <w:t>example:</w:t>
      </w:r>
      <w:proofErr w:type="gramEnd"/>
      <w:r w:rsidRPr="00771A45">
        <w:rPr>
          <w:rFonts w:ascii="Verdana" w:eastAsia="Times New Roman" w:hAnsi="Verdana" w:cs="Times New Roman"/>
          <w:sz w:val="18"/>
          <w:szCs w:val="18"/>
          <w:lang w:eastAsia="nl-NL"/>
        </w:rPr>
        <w:t xml:space="preserve"> </w:t>
      </w:r>
      <w:r w:rsidR="00A36E76">
        <w:rPr>
          <w:rFonts w:ascii="Verdana" w:eastAsia="Times New Roman" w:hAnsi="Verdana" w:cs="Times New Roman"/>
          <w:sz w:val="18"/>
          <w:szCs w:val="18"/>
          <w:lang w:eastAsia="nl-NL"/>
        </w:rPr>
        <w:t>s</w:t>
      </w:r>
      <w:r w:rsidRPr="00771A45">
        <w:rPr>
          <w:rFonts w:ascii="Verdana" w:eastAsia="Times New Roman" w:hAnsi="Verdana" w:cs="Times New Roman"/>
          <w:sz w:val="18"/>
          <w:szCs w:val="18"/>
          <w:lang w:eastAsia="nl-NL"/>
        </w:rPr>
        <w:t>upervision, teaching roles, mentoring, assessments, contributions to content or coordination of education/programs/modules, quality of education (e.g. student evaluations)</w:t>
      </w:r>
      <w:r w:rsidR="0035020B">
        <w:rPr>
          <w:rFonts w:ascii="Verdana" w:eastAsia="Times New Roman" w:hAnsi="Verdana" w:cs="Times New Roman"/>
          <w:sz w:val="18"/>
          <w:szCs w:val="18"/>
          <w:lang w:eastAsia="nl-NL"/>
        </w:rPr>
        <w:t>.</w:t>
      </w:r>
    </w:p>
    <w:p w14:paraId="50D37BBF" w14:textId="77777777" w:rsidR="00771A45" w:rsidRPr="00771A45" w:rsidRDefault="00771A45" w:rsidP="00771A45">
      <w:pPr>
        <w:pStyle w:val="ListParagraph"/>
        <w:numPr>
          <w:ilvl w:val="0"/>
          <w:numId w:val="10"/>
        </w:numPr>
        <w:spacing w:after="0" w:line="240" w:lineRule="auto"/>
        <w:rPr>
          <w:rFonts w:ascii="Verdana" w:eastAsia="Calibri" w:hAnsi="Verdana" w:cs="Verdana"/>
          <w:color w:val="000000"/>
          <w:sz w:val="18"/>
          <w:szCs w:val="18"/>
          <w:lang w:eastAsia="en-GB"/>
        </w:rPr>
      </w:pPr>
      <w:r w:rsidRPr="00771A45">
        <w:rPr>
          <w:rFonts w:ascii="Verdana" w:eastAsia="Calibri" w:hAnsi="Verdana" w:cs="Verdana"/>
          <w:b/>
          <w:color w:val="000000"/>
          <w:sz w:val="18"/>
          <w:szCs w:val="18"/>
          <w:lang w:eastAsia="en-GB"/>
        </w:rPr>
        <w:t>Research.</w:t>
      </w:r>
      <w:r w:rsidRPr="00771A45">
        <w:rPr>
          <w:rFonts w:ascii="Verdana" w:eastAsia="Calibri" w:hAnsi="Verdana" w:cs="Verdana"/>
          <w:color w:val="000000"/>
          <w:sz w:val="18"/>
          <w:szCs w:val="18"/>
          <w:lang w:eastAsia="en-GB"/>
        </w:rPr>
        <w:t xml:space="preserve"> </w:t>
      </w:r>
    </w:p>
    <w:p w14:paraId="7A551BFE" w14:textId="207B4A5D" w:rsidR="007A3719" w:rsidRDefault="00771A45" w:rsidP="007A3719">
      <w:pPr>
        <w:spacing w:after="0" w:line="240" w:lineRule="auto"/>
        <w:ind w:left="720"/>
        <w:contextualSpacing/>
        <w:rPr>
          <w:rFonts w:ascii="Verdana" w:eastAsia="Times New Roman" w:hAnsi="Verdana" w:cs="Times New Roman"/>
          <w:sz w:val="18"/>
          <w:szCs w:val="18"/>
          <w:lang w:eastAsia="nl-NL"/>
        </w:rPr>
      </w:pPr>
      <w:r w:rsidRPr="00771A45">
        <w:rPr>
          <w:rFonts w:ascii="Verdana" w:eastAsia="Calibri" w:hAnsi="Verdana" w:cs="Verdana"/>
          <w:color w:val="000000"/>
          <w:sz w:val="18"/>
          <w:szCs w:val="18"/>
        </w:rPr>
        <w:t xml:space="preserve">For </w:t>
      </w:r>
      <w:proofErr w:type="gramStart"/>
      <w:r w:rsidRPr="00771A45">
        <w:rPr>
          <w:rFonts w:ascii="Verdana" w:eastAsia="Calibri" w:hAnsi="Verdana" w:cs="Verdana"/>
          <w:color w:val="000000"/>
          <w:sz w:val="18"/>
          <w:szCs w:val="18"/>
        </w:rPr>
        <w:t>example:</w:t>
      </w:r>
      <w:proofErr w:type="gramEnd"/>
      <w:r w:rsidRPr="00771A45">
        <w:rPr>
          <w:rFonts w:ascii="Verdana" w:eastAsia="Calibri" w:hAnsi="Verdana" w:cs="Verdana"/>
          <w:color w:val="000000"/>
          <w:sz w:val="18"/>
          <w:szCs w:val="18"/>
        </w:rPr>
        <w:t xml:space="preserve"> </w:t>
      </w:r>
      <w:r w:rsidR="00A36E76">
        <w:rPr>
          <w:rFonts w:ascii="Verdana" w:eastAsia="Times New Roman" w:hAnsi="Verdana" w:cs="Times New Roman"/>
          <w:sz w:val="18"/>
          <w:szCs w:val="18"/>
          <w:lang w:eastAsia="nl-NL"/>
        </w:rPr>
        <w:t>r</w:t>
      </w:r>
      <w:r w:rsidRPr="00771A45">
        <w:rPr>
          <w:rFonts w:ascii="Verdana" w:eastAsia="Times New Roman" w:hAnsi="Verdana" w:cs="Times New Roman"/>
          <w:sz w:val="18"/>
          <w:szCs w:val="18"/>
          <w:lang w:eastAsia="nl-NL"/>
        </w:rPr>
        <w:t xml:space="preserve">esearch output (including peer reviewed publications), </w:t>
      </w:r>
      <w:r w:rsidR="007A3719">
        <w:rPr>
          <w:rFonts w:ascii="Verdana" w:eastAsia="Times New Roman" w:hAnsi="Verdana" w:cs="Times New Roman"/>
          <w:sz w:val="18"/>
          <w:szCs w:val="18"/>
          <w:lang w:eastAsia="nl-NL"/>
        </w:rPr>
        <w:t>p</w:t>
      </w:r>
      <w:r w:rsidRPr="00771A45">
        <w:rPr>
          <w:rFonts w:ascii="Verdana" w:eastAsia="Times New Roman" w:hAnsi="Verdana" w:cs="Times New Roman"/>
          <w:sz w:val="18"/>
          <w:szCs w:val="18"/>
          <w:lang w:eastAsia="nl-NL"/>
        </w:rPr>
        <w:t xml:space="preserve">roductivity (e.g. output i.r.t. work experience and actual time spent on research), </w:t>
      </w:r>
      <w:r w:rsidR="007A3719">
        <w:rPr>
          <w:rFonts w:ascii="Verdana" w:eastAsia="Times New Roman" w:hAnsi="Verdana" w:cs="Times New Roman"/>
          <w:sz w:val="18"/>
          <w:szCs w:val="18"/>
          <w:lang w:eastAsia="nl-NL"/>
        </w:rPr>
        <w:t>r</w:t>
      </w:r>
      <w:r w:rsidRPr="00771A45">
        <w:rPr>
          <w:rFonts w:ascii="Verdana" w:eastAsia="Times New Roman" w:hAnsi="Verdana" w:cs="Times New Roman"/>
          <w:sz w:val="18"/>
          <w:szCs w:val="18"/>
          <w:lang w:eastAsia="nl-NL"/>
        </w:rPr>
        <w:t>ecognition for work (e.g. prizes, grants and awards, invited presentations), Contributions to research field (theoretical, methodological, clinical</w:t>
      </w:r>
      <w:r w:rsidR="007A3719">
        <w:rPr>
          <w:rFonts w:ascii="Verdana" w:eastAsia="Times New Roman" w:hAnsi="Verdana" w:cs="Times New Roman"/>
          <w:sz w:val="18"/>
          <w:szCs w:val="18"/>
          <w:lang w:eastAsia="nl-NL"/>
        </w:rPr>
        <w:t>).</w:t>
      </w:r>
    </w:p>
    <w:p w14:paraId="7E44A73F" w14:textId="7294617D" w:rsidR="00771A45" w:rsidRPr="00771A45" w:rsidRDefault="00771A45" w:rsidP="007A3719">
      <w:pPr>
        <w:pStyle w:val="ListParagraph"/>
        <w:numPr>
          <w:ilvl w:val="0"/>
          <w:numId w:val="10"/>
        </w:numPr>
        <w:spacing w:after="0" w:line="240" w:lineRule="auto"/>
      </w:pPr>
      <w:r w:rsidRPr="007A3719">
        <w:rPr>
          <w:rFonts w:ascii="Verdana" w:eastAsia="Calibri" w:hAnsi="Verdana" w:cs="Verdana"/>
          <w:b/>
          <w:color w:val="000000"/>
          <w:sz w:val="18"/>
          <w:szCs w:val="18"/>
        </w:rPr>
        <w:t>Impact.</w:t>
      </w:r>
      <w:r w:rsidRPr="007A3719">
        <w:rPr>
          <w:rFonts w:ascii="Verdana" w:eastAsia="Calibri" w:hAnsi="Verdana" w:cs="Verdana"/>
          <w:color w:val="000000"/>
          <w:sz w:val="18"/>
          <w:szCs w:val="18"/>
        </w:rPr>
        <w:t xml:space="preserve"> </w:t>
      </w:r>
      <w:r w:rsidRPr="007A3719">
        <w:rPr>
          <w:rFonts w:ascii="Verdana" w:eastAsia="Calibri" w:hAnsi="Verdana" w:cs="Verdana"/>
          <w:color w:val="000000"/>
          <w:sz w:val="18"/>
          <w:szCs w:val="18"/>
        </w:rPr>
        <w:br/>
        <w:t xml:space="preserve">For example: </w:t>
      </w:r>
      <w:r w:rsidR="00A36E76" w:rsidRPr="007A3719">
        <w:rPr>
          <w:rFonts w:ascii="Verdana" w:eastAsia="Calibri" w:hAnsi="Verdana" w:cs="Verdana"/>
          <w:color w:val="000000"/>
          <w:sz w:val="18"/>
          <w:szCs w:val="18"/>
        </w:rPr>
        <w:t>k</w:t>
      </w:r>
      <w:r w:rsidRPr="007A3719">
        <w:rPr>
          <w:rFonts w:ascii="Verdana" w:eastAsia="Calibri" w:hAnsi="Verdana" w:cs="Verdana"/>
          <w:color w:val="000000"/>
          <w:sz w:val="18"/>
          <w:szCs w:val="18"/>
        </w:rPr>
        <w:t xml:space="preserve">nowledge dissemination activities (including conference participation, public outreach) and </w:t>
      </w:r>
      <w:proofErr w:type="gramStart"/>
      <w:r w:rsidRPr="007A3719">
        <w:rPr>
          <w:rFonts w:ascii="Verdana" w:eastAsia="Calibri" w:hAnsi="Verdana" w:cs="Verdana"/>
          <w:color w:val="000000"/>
          <w:sz w:val="18"/>
          <w:szCs w:val="18"/>
        </w:rPr>
        <w:t>layman</w:t>
      </w:r>
      <w:proofErr w:type="gramEnd"/>
      <w:r w:rsidRPr="007A3719">
        <w:rPr>
          <w:rFonts w:ascii="Verdana" w:eastAsia="Calibri" w:hAnsi="Verdana" w:cs="Verdana"/>
          <w:color w:val="000000"/>
          <w:sz w:val="18"/>
          <w:szCs w:val="18"/>
        </w:rPr>
        <w:t xml:space="preserve"> publications. </w:t>
      </w:r>
      <w:r w:rsidRPr="007A3719">
        <w:rPr>
          <w:rFonts w:ascii="Verdana" w:eastAsia="Calibri" w:hAnsi="Verdana" w:cs="Verdana"/>
          <w:color w:val="000000"/>
          <w:sz w:val="18"/>
          <w:szCs w:val="18"/>
        </w:rPr>
        <w:br/>
      </w:r>
      <w:r w:rsidRPr="007A3719">
        <w:rPr>
          <w:rFonts w:ascii="Verdana" w:eastAsia="Calibri" w:hAnsi="Verdana" w:cs="Verdana"/>
          <w:i/>
          <w:color w:val="000000"/>
          <w:sz w:val="18"/>
          <w:szCs w:val="18"/>
        </w:rPr>
        <w:t xml:space="preserve">Please note that these </w:t>
      </w:r>
      <w:proofErr w:type="gramStart"/>
      <w:r w:rsidRPr="007A3719">
        <w:rPr>
          <w:rFonts w:ascii="Verdana" w:eastAsia="Calibri" w:hAnsi="Verdana" w:cs="Verdana"/>
          <w:i/>
          <w:color w:val="000000"/>
          <w:sz w:val="18"/>
          <w:szCs w:val="18"/>
        </w:rPr>
        <w:t>are not necessarily related</w:t>
      </w:r>
      <w:proofErr w:type="gramEnd"/>
      <w:r w:rsidRPr="007A3719">
        <w:rPr>
          <w:rFonts w:ascii="Verdana" w:eastAsia="Calibri" w:hAnsi="Verdana" w:cs="Verdana"/>
          <w:i/>
          <w:color w:val="000000"/>
          <w:sz w:val="18"/>
          <w:szCs w:val="18"/>
        </w:rPr>
        <w:t xml:space="preserve"> to research</w:t>
      </w:r>
      <w:r w:rsidR="007A3719">
        <w:rPr>
          <w:rFonts w:ascii="Verdana" w:eastAsia="Calibri" w:hAnsi="Verdana" w:cs="Verdana"/>
          <w:color w:val="000000"/>
          <w:sz w:val="18"/>
          <w:szCs w:val="18"/>
        </w:rPr>
        <w:t>.</w:t>
      </w:r>
    </w:p>
    <w:p w14:paraId="2AD11F76" w14:textId="2D3E2557" w:rsidR="00771A45" w:rsidRPr="00771A45" w:rsidRDefault="00771A45" w:rsidP="00771A45">
      <w:pPr>
        <w:numPr>
          <w:ilvl w:val="0"/>
          <w:numId w:val="9"/>
        </w:numPr>
        <w:autoSpaceDE w:val="0"/>
        <w:autoSpaceDN w:val="0"/>
        <w:adjustRightInd w:val="0"/>
        <w:spacing w:after="13" w:line="240" w:lineRule="auto"/>
        <w:contextualSpacing/>
        <w:rPr>
          <w:rFonts w:ascii="Verdana" w:eastAsia="Calibri" w:hAnsi="Verdana" w:cs="Verdana"/>
          <w:color w:val="000000"/>
          <w:sz w:val="18"/>
          <w:szCs w:val="18"/>
          <w:lang w:eastAsia="en-GB"/>
        </w:rPr>
      </w:pPr>
      <w:r w:rsidRPr="00771A45">
        <w:rPr>
          <w:rFonts w:ascii="Verdana" w:eastAsia="Calibri" w:hAnsi="Verdana" w:cs="Verdana"/>
          <w:b/>
          <w:color w:val="000000"/>
          <w:sz w:val="18"/>
          <w:szCs w:val="18"/>
          <w:lang w:eastAsia="en-GB"/>
        </w:rPr>
        <w:t>Leadership.</w:t>
      </w:r>
      <w:r w:rsidRPr="00771A45">
        <w:rPr>
          <w:rFonts w:ascii="Verdana" w:eastAsia="Calibri" w:hAnsi="Verdana" w:cs="Verdana"/>
          <w:color w:val="000000"/>
          <w:sz w:val="18"/>
          <w:szCs w:val="18"/>
          <w:lang w:eastAsia="en-GB"/>
        </w:rPr>
        <w:t xml:space="preserve"> </w:t>
      </w:r>
      <w:r w:rsidRPr="00771A45">
        <w:rPr>
          <w:rFonts w:ascii="Verdana" w:eastAsia="Calibri" w:hAnsi="Verdana" w:cs="Verdana"/>
          <w:color w:val="000000"/>
          <w:sz w:val="18"/>
          <w:szCs w:val="18"/>
          <w:lang w:eastAsia="en-GB"/>
        </w:rPr>
        <w:br/>
        <w:t xml:space="preserve">For example: </w:t>
      </w:r>
      <w:r w:rsidR="00A36E76">
        <w:rPr>
          <w:rFonts w:ascii="Verdana" w:eastAsia="Calibri" w:hAnsi="Verdana" w:cs="Verdana"/>
          <w:color w:val="000000"/>
          <w:sz w:val="18"/>
          <w:szCs w:val="18"/>
          <w:lang w:eastAsia="en-GB"/>
        </w:rPr>
        <w:t>r</w:t>
      </w:r>
      <w:r w:rsidRPr="00771A45">
        <w:rPr>
          <w:rFonts w:ascii="Verdana" w:eastAsia="Calibri" w:hAnsi="Verdana" w:cs="Verdana"/>
          <w:color w:val="000000"/>
          <w:sz w:val="18"/>
          <w:szCs w:val="18"/>
          <w:lang w:eastAsia="en-GB"/>
        </w:rPr>
        <w:t>esearch vision, collaborations and networking, international and/or interdisciplinary research activities, membership of boards/committees, organisation of e.g. conferences, workshops, involvement in organization of meetings, other (non-research) activities in group /institute, growth/potential towards independence.</w:t>
      </w:r>
    </w:p>
    <w:p w14:paraId="33B0CA35" w14:textId="77777777" w:rsidR="00771A45" w:rsidRDefault="00771A45" w:rsidP="009A3DC1">
      <w:pPr>
        <w:pStyle w:val="Default"/>
        <w:rPr>
          <w:sz w:val="18"/>
          <w:szCs w:val="18"/>
        </w:rPr>
      </w:pPr>
    </w:p>
    <w:p w14:paraId="204A3304" w14:textId="77777777" w:rsidR="00265740" w:rsidRDefault="00265740" w:rsidP="00771A45">
      <w:pPr>
        <w:pStyle w:val="Default"/>
        <w:rPr>
          <w:sz w:val="18"/>
          <w:szCs w:val="18"/>
        </w:rPr>
      </w:pPr>
      <w:r w:rsidRPr="009A3DC1">
        <w:rPr>
          <w:sz w:val="18"/>
          <w:szCs w:val="18"/>
        </w:rPr>
        <w:t xml:space="preserve">Incomplete applications (notice the maximum word count) and applications without the supporting letter from the scientific director of the School/Institute </w:t>
      </w:r>
      <w:proofErr w:type="gramStart"/>
      <w:r w:rsidRPr="009A3DC1">
        <w:rPr>
          <w:sz w:val="18"/>
          <w:szCs w:val="18"/>
        </w:rPr>
        <w:t>will not be taken</w:t>
      </w:r>
      <w:proofErr w:type="gramEnd"/>
      <w:r w:rsidRPr="009A3DC1">
        <w:rPr>
          <w:sz w:val="18"/>
          <w:szCs w:val="18"/>
        </w:rPr>
        <w:t xml:space="preserve"> into consideration. If the conditions of the Kootstra Talent Fellowship grant </w:t>
      </w:r>
      <w:proofErr w:type="gramStart"/>
      <w:r w:rsidRPr="009A3DC1">
        <w:rPr>
          <w:sz w:val="18"/>
          <w:szCs w:val="18"/>
        </w:rPr>
        <w:t>are not met</w:t>
      </w:r>
      <w:proofErr w:type="gramEnd"/>
      <w:r w:rsidRPr="009A3DC1">
        <w:rPr>
          <w:sz w:val="18"/>
          <w:szCs w:val="18"/>
        </w:rPr>
        <w:t xml:space="preserve">, the Executive Board Maastricht UMC+ reserves the right to retract the award. </w:t>
      </w:r>
    </w:p>
    <w:p w14:paraId="5993D92C" w14:textId="77777777" w:rsidR="00771A45" w:rsidRDefault="00771A45" w:rsidP="00771A45">
      <w:pPr>
        <w:pStyle w:val="Default"/>
      </w:pPr>
    </w:p>
    <w:tbl>
      <w:tblPr>
        <w:tblStyle w:val="TableGrid"/>
        <w:tblW w:w="0" w:type="auto"/>
        <w:tblLook w:val="04A0" w:firstRow="1" w:lastRow="0" w:firstColumn="1" w:lastColumn="0" w:noHBand="0" w:noVBand="1"/>
      </w:tblPr>
      <w:tblGrid>
        <w:gridCol w:w="9016"/>
      </w:tblGrid>
      <w:tr w:rsidR="00D6786E" w14:paraId="3A2F9D17" w14:textId="77777777" w:rsidTr="00D6786E">
        <w:tc>
          <w:tcPr>
            <w:tcW w:w="9016" w:type="dxa"/>
          </w:tcPr>
          <w:p w14:paraId="17FF5A15" w14:textId="77777777" w:rsidR="00D6786E" w:rsidRPr="00D6786E" w:rsidRDefault="00D6786E" w:rsidP="00265740">
            <w:pPr>
              <w:rPr>
                <w:b/>
              </w:rPr>
            </w:pPr>
            <w:r w:rsidRPr="00D6786E">
              <w:rPr>
                <w:b/>
              </w:rPr>
              <w:t>Evaluation Procedure</w:t>
            </w:r>
          </w:p>
        </w:tc>
      </w:tr>
    </w:tbl>
    <w:p w14:paraId="4FAA3D71" w14:textId="77777777" w:rsidR="00D6786E" w:rsidRDefault="00D6786E" w:rsidP="009A3DC1">
      <w:pPr>
        <w:pStyle w:val="Default"/>
        <w:rPr>
          <w:sz w:val="18"/>
          <w:szCs w:val="18"/>
        </w:rPr>
      </w:pPr>
    </w:p>
    <w:p w14:paraId="20943BCB" w14:textId="61928E90" w:rsidR="00265740" w:rsidRPr="009A3DC1" w:rsidRDefault="00265740" w:rsidP="009A3DC1">
      <w:pPr>
        <w:pStyle w:val="Default"/>
        <w:rPr>
          <w:sz w:val="18"/>
          <w:szCs w:val="18"/>
        </w:rPr>
      </w:pPr>
      <w:r w:rsidRPr="009A3DC1">
        <w:rPr>
          <w:sz w:val="18"/>
          <w:szCs w:val="18"/>
        </w:rPr>
        <w:t xml:space="preserve">The Executive Board Maastricht UMC+ decides which applicants </w:t>
      </w:r>
      <w:proofErr w:type="gramStart"/>
      <w:r w:rsidRPr="009A3DC1">
        <w:rPr>
          <w:sz w:val="18"/>
          <w:szCs w:val="18"/>
        </w:rPr>
        <w:t>will be awarded</w:t>
      </w:r>
      <w:proofErr w:type="gramEnd"/>
      <w:r w:rsidRPr="009A3DC1">
        <w:rPr>
          <w:sz w:val="18"/>
          <w:szCs w:val="18"/>
        </w:rPr>
        <w:t xml:space="preserve"> the KTF. The Maastricht UMC+ Research Committee (WMUMC+) acts as an advisory board in the review process. The evaluation procedure consists of </w:t>
      </w:r>
      <w:r w:rsidR="00E94181">
        <w:rPr>
          <w:sz w:val="18"/>
          <w:szCs w:val="18"/>
        </w:rPr>
        <w:t xml:space="preserve">three </w:t>
      </w:r>
      <w:r w:rsidRPr="009A3DC1">
        <w:rPr>
          <w:sz w:val="18"/>
          <w:szCs w:val="18"/>
        </w:rPr>
        <w:t xml:space="preserve">steps. </w:t>
      </w:r>
    </w:p>
    <w:p w14:paraId="435C0D1D" w14:textId="77777777" w:rsidR="00E94181" w:rsidRDefault="00E94181" w:rsidP="009A3DC1">
      <w:pPr>
        <w:pStyle w:val="Default"/>
        <w:rPr>
          <w:sz w:val="18"/>
          <w:szCs w:val="18"/>
        </w:rPr>
      </w:pPr>
    </w:p>
    <w:p w14:paraId="107B2633" w14:textId="4DFDDFB8" w:rsidR="00E94181" w:rsidRDefault="00265740" w:rsidP="009A3DC1">
      <w:pPr>
        <w:pStyle w:val="Default"/>
        <w:rPr>
          <w:sz w:val="18"/>
          <w:szCs w:val="18"/>
        </w:rPr>
      </w:pPr>
      <w:r w:rsidRPr="009A3DC1">
        <w:rPr>
          <w:sz w:val="18"/>
          <w:szCs w:val="18"/>
        </w:rPr>
        <w:t xml:space="preserve">First, </w:t>
      </w:r>
      <w:r w:rsidR="00E94181">
        <w:rPr>
          <w:sz w:val="18"/>
          <w:szCs w:val="18"/>
        </w:rPr>
        <w:t>a</w:t>
      </w:r>
      <w:r w:rsidR="00E94181" w:rsidRPr="00E94181">
        <w:rPr>
          <w:sz w:val="18"/>
          <w:szCs w:val="18"/>
        </w:rPr>
        <w:t>fter you submit your proposal, an eligibility check will be performed to see whether your proposal meets all formal criteria for submission (e.g. word count) and whether it is complete (e.g. including requested letters). If your proposal does not meet all eligibility criteria, you MAY be given the opportunity to adapt that specific part of your proposal. However, do not count on this, and make sure you carefully check your final proposal against the eligibility and assessment criteria before submitting.</w:t>
      </w:r>
    </w:p>
    <w:p w14:paraId="196501E5" w14:textId="77777777" w:rsidR="00E94181" w:rsidRDefault="00E94181" w:rsidP="009A3DC1">
      <w:pPr>
        <w:pStyle w:val="Default"/>
        <w:rPr>
          <w:sz w:val="18"/>
          <w:szCs w:val="18"/>
        </w:rPr>
      </w:pPr>
    </w:p>
    <w:p w14:paraId="3761C72C" w14:textId="77777777" w:rsidR="00CE37E5" w:rsidRDefault="00E94181" w:rsidP="00CE37E5">
      <w:pPr>
        <w:pStyle w:val="Default"/>
      </w:pPr>
      <w:r>
        <w:rPr>
          <w:sz w:val="18"/>
          <w:szCs w:val="18"/>
        </w:rPr>
        <w:t xml:space="preserve">Second, </w:t>
      </w:r>
      <w:r w:rsidR="00265740" w:rsidRPr="009A3DC1">
        <w:rPr>
          <w:sz w:val="18"/>
          <w:szCs w:val="18"/>
        </w:rPr>
        <w:t xml:space="preserve">in a preselection step, the WMUMC+ assesses all eligible proposals using the above stated criteria and their weight, resulting in </w:t>
      </w:r>
      <w:r w:rsidR="00F72E0B" w:rsidRPr="009A3DC1">
        <w:rPr>
          <w:sz w:val="18"/>
          <w:szCs w:val="18"/>
        </w:rPr>
        <w:t>a</w:t>
      </w:r>
      <w:r w:rsidR="00265740" w:rsidRPr="009A3DC1">
        <w:rPr>
          <w:sz w:val="18"/>
          <w:szCs w:val="18"/>
        </w:rPr>
        <w:t xml:space="preserve"> mean score for each of the three evaluation criteria</w:t>
      </w:r>
      <w:r w:rsidR="00CE37E5">
        <w:rPr>
          <w:sz w:val="18"/>
          <w:szCs w:val="18"/>
        </w:rPr>
        <w:t>:</w:t>
      </w:r>
      <w:r w:rsidR="00CE37E5" w:rsidRPr="00CE37E5">
        <w:t xml:space="preserve"> </w:t>
      </w:r>
    </w:p>
    <w:p w14:paraId="71C6A54C" w14:textId="0FAAD1DB" w:rsidR="00265740" w:rsidRPr="009A3DC1" w:rsidRDefault="00CE37E5" w:rsidP="00CE37E5">
      <w:pPr>
        <w:pStyle w:val="Default"/>
        <w:rPr>
          <w:sz w:val="18"/>
          <w:szCs w:val="18"/>
        </w:rPr>
      </w:pPr>
      <w:r>
        <w:rPr>
          <w:sz w:val="18"/>
          <w:szCs w:val="18"/>
        </w:rPr>
        <w:t xml:space="preserve">1) </w:t>
      </w:r>
      <w:proofErr w:type="gramStart"/>
      <w:r>
        <w:rPr>
          <w:sz w:val="18"/>
          <w:szCs w:val="18"/>
        </w:rPr>
        <w:t>q</w:t>
      </w:r>
      <w:r w:rsidRPr="00CE37E5">
        <w:rPr>
          <w:sz w:val="18"/>
          <w:szCs w:val="18"/>
        </w:rPr>
        <w:t>uality</w:t>
      </w:r>
      <w:proofErr w:type="gramEnd"/>
      <w:r w:rsidRPr="00CE37E5">
        <w:rPr>
          <w:sz w:val="18"/>
          <w:szCs w:val="18"/>
        </w:rPr>
        <w:t xml:space="preserve">, innovative character and academic impact </w:t>
      </w:r>
      <w:r>
        <w:rPr>
          <w:sz w:val="18"/>
          <w:szCs w:val="18"/>
        </w:rPr>
        <w:t>of the proposed research (40%), 2) p</w:t>
      </w:r>
      <w:r w:rsidRPr="00CE37E5">
        <w:rPr>
          <w:sz w:val="18"/>
          <w:szCs w:val="18"/>
        </w:rPr>
        <w:t>ersonal vision and motivation (20%), and</w:t>
      </w:r>
      <w:r>
        <w:rPr>
          <w:sz w:val="18"/>
          <w:szCs w:val="18"/>
        </w:rPr>
        <w:t xml:space="preserve"> 3) q</w:t>
      </w:r>
      <w:r w:rsidRPr="00CE37E5">
        <w:rPr>
          <w:sz w:val="18"/>
          <w:szCs w:val="18"/>
        </w:rPr>
        <w:t>uality of the researcher (40%).</w:t>
      </w:r>
      <w:r w:rsidR="00771A45">
        <w:rPr>
          <w:sz w:val="18"/>
          <w:szCs w:val="18"/>
        </w:rPr>
        <w:t xml:space="preserve"> </w:t>
      </w:r>
      <w:r w:rsidR="00265740" w:rsidRPr="009A3DC1">
        <w:rPr>
          <w:sz w:val="18"/>
          <w:szCs w:val="18"/>
        </w:rPr>
        <w:t xml:space="preserve">All proposals </w:t>
      </w:r>
      <w:proofErr w:type="gramStart"/>
      <w:r w:rsidR="00265740" w:rsidRPr="009A3DC1">
        <w:rPr>
          <w:sz w:val="18"/>
          <w:szCs w:val="18"/>
        </w:rPr>
        <w:t>will be ranked</w:t>
      </w:r>
      <w:proofErr w:type="gramEnd"/>
      <w:r w:rsidR="00265740" w:rsidRPr="009A3DC1">
        <w:rPr>
          <w:sz w:val="18"/>
          <w:szCs w:val="18"/>
        </w:rPr>
        <w:t xml:space="preserve"> according to likelihood of funding. The candidates with the highest ranking </w:t>
      </w:r>
      <w:proofErr w:type="gramStart"/>
      <w:r w:rsidR="00265740" w:rsidRPr="009A3DC1">
        <w:rPr>
          <w:sz w:val="18"/>
          <w:szCs w:val="18"/>
        </w:rPr>
        <w:t>are invited</w:t>
      </w:r>
      <w:proofErr w:type="gramEnd"/>
      <w:r w:rsidR="00265740" w:rsidRPr="009A3DC1">
        <w:rPr>
          <w:sz w:val="18"/>
          <w:szCs w:val="18"/>
        </w:rPr>
        <w:t xml:space="preserve"> for an interview with the WMUMC+. </w:t>
      </w:r>
    </w:p>
    <w:p w14:paraId="6CC04A8B" w14:textId="77777777" w:rsidR="00D6786E" w:rsidRDefault="00D6786E" w:rsidP="009A3DC1">
      <w:pPr>
        <w:pStyle w:val="Default"/>
        <w:rPr>
          <w:sz w:val="18"/>
          <w:szCs w:val="18"/>
        </w:rPr>
      </w:pPr>
    </w:p>
    <w:p w14:paraId="27F8B31B" w14:textId="3DCEDAA1" w:rsidR="00265740" w:rsidRDefault="00E94181" w:rsidP="009A3DC1">
      <w:pPr>
        <w:pStyle w:val="Default"/>
        <w:rPr>
          <w:sz w:val="18"/>
          <w:szCs w:val="18"/>
        </w:rPr>
      </w:pPr>
      <w:r>
        <w:rPr>
          <w:sz w:val="18"/>
          <w:szCs w:val="18"/>
        </w:rPr>
        <w:t>Third</w:t>
      </w:r>
      <w:r w:rsidR="00265740" w:rsidRPr="009A3DC1">
        <w:rPr>
          <w:sz w:val="18"/>
          <w:szCs w:val="18"/>
        </w:rPr>
        <w:t xml:space="preserve">, during the interview, candidates have the opportunity to explain their proposal, vision and motivation. At the interview, candidates are scored on 1) the quality, innovative character and academic impact of the proposed research (30%), 2) their responses to questions and </w:t>
      </w:r>
      <w:r w:rsidR="000E32B4" w:rsidRPr="009A3DC1">
        <w:rPr>
          <w:sz w:val="18"/>
          <w:szCs w:val="18"/>
        </w:rPr>
        <w:t>discussion</w:t>
      </w:r>
      <w:r w:rsidR="00265740" w:rsidRPr="009A3DC1">
        <w:rPr>
          <w:sz w:val="18"/>
          <w:szCs w:val="18"/>
        </w:rPr>
        <w:t xml:space="preserve"> with the committee (50%), and 3) the content and delivery of the presentation itself (20%), resulting in a final score. </w:t>
      </w:r>
    </w:p>
    <w:p w14:paraId="0AFBC8FC" w14:textId="77777777" w:rsidR="00DB63B8" w:rsidRDefault="00DB63B8" w:rsidP="009A3DC1">
      <w:pPr>
        <w:pStyle w:val="Default"/>
        <w:rPr>
          <w:sz w:val="18"/>
          <w:szCs w:val="18"/>
        </w:rPr>
      </w:pPr>
    </w:p>
    <w:p w14:paraId="36450541" w14:textId="32A8FCC0" w:rsidR="00771A45" w:rsidRPr="00955744" w:rsidRDefault="00DB63B8" w:rsidP="00955744">
      <w:pPr>
        <w:pStyle w:val="Default"/>
        <w:rPr>
          <w:sz w:val="18"/>
          <w:szCs w:val="18"/>
        </w:rPr>
      </w:pPr>
      <w:r w:rsidRPr="00955744">
        <w:rPr>
          <w:sz w:val="18"/>
          <w:szCs w:val="18"/>
        </w:rPr>
        <w:t>Member</w:t>
      </w:r>
      <w:r w:rsidR="00764DCB" w:rsidRPr="00955744">
        <w:rPr>
          <w:sz w:val="18"/>
          <w:szCs w:val="18"/>
        </w:rPr>
        <w:t>(</w:t>
      </w:r>
      <w:r w:rsidRPr="00955744">
        <w:rPr>
          <w:sz w:val="18"/>
          <w:szCs w:val="18"/>
        </w:rPr>
        <w:t>s</w:t>
      </w:r>
      <w:r w:rsidR="00764DCB" w:rsidRPr="00955744">
        <w:rPr>
          <w:sz w:val="18"/>
          <w:szCs w:val="18"/>
        </w:rPr>
        <w:t>)</w:t>
      </w:r>
      <w:r w:rsidRPr="00955744">
        <w:rPr>
          <w:sz w:val="18"/>
          <w:szCs w:val="18"/>
        </w:rPr>
        <w:t xml:space="preserve"> of the WMUMC+ </w:t>
      </w:r>
      <w:r w:rsidR="00764DCB" w:rsidRPr="00955744">
        <w:rPr>
          <w:sz w:val="18"/>
          <w:szCs w:val="18"/>
        </w:rPr>
        <w:t xml:space="preserve">with a conflict of interest regarding a </w:t>
      </w:r>
      <w:r w:rsidR="00771A45" w:rsidRPr="00955744">
        <w:rPr>
          <w:sz w:val="18"/>
          <w:szCs w:val="18"/>
        </w:rPr>
        <w:t xml:space="preserve">specific </w:t>
      </w:r>
      <w:r w:rsidR="00764DCB" w:rsidRPr="00955744">
        <w:rPr>
          <w:sz w:val="18"/>
          <w:szCs w:val="18"/>
        </w:rPr>
        <w:t xml:space="preserve">KTF proposal for funding </w:t>
      </w:r>
      <w:proofErr w:type="gramStart"/>
      <w:r w:rsidR="00764DCB" w:rsidRPr="00955744">
        <w:rPr>
          <w:sz w:val="18"/>
          <w:szCs w:val="18"/>
        </w:rPr>
        <w:t>will be excluded</w:t>
      </w:r>
      <w:proofErr w:type="gramEnd"/>
      <w:r w:rsidR="00764DCB" w:rsidRPr="00955744">
        <w:rPr>
          <w:sz w:val="18"/>
          <w:szCs w:val="18"/>
        </w:rPr>
        <w:t xml:space="preserve"> from the assessment and the interview. A conflict of interest occurs when</w:t>
      </w:r>
      <w:r w:rsidR="001F1F7B" w:rsidRPr="00955744">
        <w:rPr>
          <w:sz w:val="18"/>
          <w:szCs w:val="18"/>
        </w:rPr>
        <w:t xml:space="preserve"> </w:t>
      </w:r>
      <w:r w:rsidR="00764DCB" w:rsidRPr="00955744">
        <w:rPr>
          <w:sz w:val="18"/>
          <w:szCs w:val="18"/>
        </w:rPr>
        <w:t>the member involved in the assessment has a personal, professional (e.g. supervisor) or</w:t>
      </w:r>
      <w:r w:rsidR="001F1F7B" w:rsidRPr="00955744">
        <w:rPr>
          <w:sz w:val="18"/>
          <w:szCs w:val="18"/>
        </w:rPr>
        <w:t xml:space="preserve"> </w:t>
      </w:r>
      <w:r w:rsidR="00764DCB" w:rsidRPr="00955744">
        <w:rPr>
          <w:sz w:val="18"/>
          <w:szCs w:val="18"/>
        </w:rPr>
        <w:t>organisational relationship with the applicant(s), affecting their ability to undertake their role in an objective and unbiased way.</w:t>
      </w:r>
    </w:p>
    <w:p w14:paraId="5955F51C" w14:textId="5DD120C5" w:rsidR="00771A45" w:rsidRDefault="00771A45" w:rsidP="00CE37E5">
      <w:pPr>
        <w:rPr>
          <w:sz w:val="18"/>
          <w:szCs w:val="18"/>
          <w:highlight w:val="yellow"/>
        </w:rPr>
      </w:pPr>
    </w:p>
    <w:p w14:paraId="3AE2FDC2" w14:textId="77AA89C8" w:rsidR="00CE37E5" w:rsidRDefault="00CE37E5" w:rsidP="00CE37E5">
      <w:pPr>
        <w:rPr>
          <w:sz w:val="18"/>
          <w:szCs w:val="18"/>
          <w:highlight w:val="yellow"/>
        </w:rPr>
      </w:pPr>
    </w:p>
    <w:p w14:paraId="6474A8F4" w14:textId="77777777" w:rsidR="00CE37E5" w:rsidRPr="00CE37E5" w:rsidRDefault="00CE37E5" w:rsidP="00CE37E5">
      <w:pPr>
        <w:rPr>
          <w:rFonts w:ascii="Verdana" w:hAnsi="Verdana" w:cs="Verdana"/>
          <w:color w:val="000000"/>
          <w:sz w:val="18"/>
          <w:szCs w:val="18"/>
          <w:highlight w:val="yellow"/>
        </w:rPr>
      </w:pPr>
    </w:p>
    <w:p w14:paraId="51A90B23" w14:textId="77777777" w:rsidR="00771A45" w:rsidRDefault="00771A45" w:rsidP="00DB63B8">
      <w:pPr>
        <w:pStyle w:val="Default"/>
        <w:rPr>
          <w:sz w:val="18"/>
          <w:szCs w:val="18"/>
        </w:rPr>
      </w:pPr>
    </w:p>
    <w:tbl>
      <w:tblPr>
        <w:tblStyle w:val="TableGrid"/>
        <w:tblW w:w="0" w:type="auto"/>
        <w:tblLook w:val="04A0" w:firstRow="1" w:lastRow="0" w:firstColumn="1" w:lastColumn="0" w:noHBand="0" w:noVBand="1"/>
      </w:tblPr>
      <w:tblGrid>
        <w:gridCol w:w="9016"/>
      </w:tblGrid>
      <w:tr w:rsidR="00D6786E" w14:paraId="4187A3F7" w14:textId="77777777" w:rsidTr="00D6786E">
        <w:tc>
          <w:tcPr>
            <w:tcW w:w="9016" w:type="dxa"/>
          </w:tcPr>
          <w:p w14:paraId="5D1D20FE" w14:textId="77777777" w:rsidR="00D6786E" w:rsidRDefault="00D6786E" w:rsidP="00265740">
            <w:pPr>
              <w:rPr>
                <w:b/>
                <w:bCs/>
              </w:rPr>
            </w:pPr>
            <w:r w:rsidRPr="00D6786E">
              <w:rPr>
                <w:b/>
                <w:bCs/>
              </w:rPr>
              <w:t>More information</w:t>
            </w:r>
          </w:p>
        </w:tc>
      </w:tr>
    </w:tbl>
    <w:p w14:paraId="0BA9FF98" w14:textId="77777777" w:rsidR="00D6786E" w:rsidRDefault="00D6786E" w:rsidP="009A3DC1">
      <w:pPr>
        <w:pStyle w:val="Default"/>
        <w:rPr>
          <w:rFonts w:asciiTheme="minorHAnsi" w:hAnsiTheme="minorHAnsi" w:cstheme="minorBidi"/>
          <w:b/>
          <w:bCs/>
          <w:color w:val="auto"/>
          <w:sz w:val="22"/>
          <w:szCs w:val="22"/>
        </w:rPr>
      </w:pPr>
    </w:p>
    <w:p w14:paraId="13BF1AED" w14:textId="16B1DC5A" w:rsidR="00265740" w:rsidRPr="009A3DC1" w:rsidRDefault="00CE37E5" w:rsidP="009A3DC1">
      <w:pPr>
        <w:pStyle w:val="Default"/>
        <w:rPr>
          <w:sz w:val="18"/>
          <w:szCs w:val="18"/>
        </w:rPr>
      </w:pPr>
      <w:r>
        <w:rPr>
          <w:sz w:val="18"/>
          <w:szCs w:val="18"/>
        </w:rPr>
        <w:t xml:space="preserve">For more </w:t>
      </w:r>
      <w:proofErr w:type="gramStart"/>
      <w:r>
        <w:rPr>
          <w:sz w:val="18"/>
          <w:szCs w:val="18"/>
        </w:rPr>
        <w:t>information and tips</w:t>
      </w:r>
      <w:proofErr w:type="gramEnd"/>
      <w:r>
        <w:rPr>
          <w:sz w:val="18"/>
          <w:szCs w:val="18"/>
        </w:rPr>
        <w:t xml:space="preserve"> and tricks </w:t>
      </w:r>
      <w:r w:rsidR="00265740" w:rsidRPr="009A3DC1">
        <w:rPr>
          <w:sz w:val="18"/>
          <w:szCs w:val="18"/>
        </w:rPr>
        <w:t xml:space="preserve">regarding the KTF, </w:t>
      </w:r>
      <w:r w:rsidR="006B18E5">
        <w:rPr>
          <w:sz w:val="18"/>
          <w:szCs w:val="18"/>
        </w:rPr>
        <w:t>see the guidebook</w:t>
      </w:r>
      <w:r w:rsidR="00265740" w:rsidRPr="009A3DC1">
        <w:rPr>
          <w:sz w:val="18"/>
          <w:szCs w:val="18"/>
        </w:rPr>
        <w:t xml:space="preserve">. </w:t>
      </w:r>
    </w:p>
    <w:p w14:paraId="2578AC1F" w14:textId="77777777" w:rsidR="000E32B4" w:rsidRDefault="000E32B4" w:rsidP="009A3DC1">
      <w:pPr>
        <w:pStyle w:val="Default"/>
        <w:rPr>
          <w:sz w:val="18"/>
          <w:szCs w:val="18"/>
        </w:rPr>
      </w:pPr>
    </w:p>
    <w:p w14:paraId="216FF9AE" w14:textId="77777777" w:rsidR="00265740" w:rsidRPr="009A3DC1" w:rsidRDefault="00265740" w:rsidP="009A3DC1">
      <w:pPr>
        <w:pStyle w:val="Default"/>
        <w:rPr>
          <w:sz w:val="18"/>
          <w:szCs w:val="18"/>
        </w:rPr>
      </w:pPr>
      <w:r w:rsidRPr="009A3DC1">
        <w:rPr>
          <w:sz w:val="18"/>
          <w:szCs w:val="18"/>
        </w:rPr>
        <w:t xml:space="preserve">Please note that researchers can contact their School’s funding advisor for support: </w:t>
      </w:r>
    </w:p>
    <w:p w14:paraId="5FCA4893" w14:textId="678CED5B" w:rsidR="000E32B4" w:rsidRDefault="000E32B4" w:rsidP="001F56F8">
      <w:pPr>
        <w:pStyle w:val="Default"/>
        <w:rPr>
          <w:sz w:val="18"/>
          <w:szCs w:val="18"/>
        </w:rPr>
      </w:pPr>
      <w:r>
        <w:rPr>
          <w:sz w:val="18"/>
          <w:szCs w:val="18"/>
        </w:rPr>
        <w:t xml:space="preserve">Marco Berndes </w:t>
      </w:r>
      <w:r w:rsidRPr="000E32B4">
        <w:rPr>
          <w:sz w:val="18"/>
          <w:szCs w:val="18"/>
        </w:rPr>
        <w:t>–</w:t>
      </w:r>
      <w:r>
        <w:rPr>
          <w:sz w:val="18"/>
          <w:szCs w:val="18"/>
        </w:rPr>
        <w:t xml:space="preserve"> </w:t>
      </w:r>
      <w:hyperlink r:id="rId12" w:history="1">
        <w:r w:rsidRPr="000E32B4">
          <w:rPr>
            <w:sz w:val="18"/>
            <w:szCs w:val="18"/>
          </w:rPr>
          <w:t>m.berndes@maastrichtuniversity.nl</w:t>
        </w:r>
      </w:hyperlink>
      <w:r>
        <w:rPr>
          <w:sz w:val="18"/>
          <w:szCs w:val="18"/>
        </w:rPr>
        <w:t xml:space="preserve"> </w:t>
      </w:r>
      <w:r w:rsidRPr="000E32B4">
        <w:rPr>
          <w:sz w:val="18"/>
          <w:szCs w:val="18"/>
        </w:rPr>
        <w:t>–</w:t>
      </w:r>
      <w:r>
        <w:rPr>
          <w:sz w:val="18"/>
          <w:szCs w:val="18"/>
        </w:rPr>
        <w:t xml:space="preserve"> MHeNS, SHE</w:t>
      </w:r>
      <w:r w:rsidR="006038E4">
        <w:rPr>
          <w:sz w:val="18"/>
          <w:szCs w:val="18"/>
        </w:rPr>
        <w:t xml:space="preserve">, </w:t>
      </w:r>
      <w:r w:rsidR="006038E4">
        <w:rPr>
          <w:sz w:val="18"/>
          <w:szCs w:val="18"/>
        </w:rPr>
        <w:t>M4I, CARIM</w:t>
      </w:r>
      <w:r w:rsidR="006038E4">
        <w:rPr>
          <w:sz w:val="18"/>
          <w:szCs w:val="18"/>
        </w:rPr>
        <w:t>, NUTRIM</w:t>
      </w:r>
    </w:p>
    <w:p w14:paraId="655457B0" w14:textId="0D64F098" w:rsidR="001F56F8" w:rsidRPr="006038E4" w:rsidRDefault="00265740" w:rsidP="006038E4">
      <w:pPr>
        <w:pStyle w:val="Default"/>
        <w:rPr>
          <w:sz w:val="18"/>
          <w:szCs w:val="18"/>
        </w:rPr>
      </w:pPr>
      <w:r w:rsidRPr="009A3DC1">
        <w:rPr>
          <w:sz w:val="18"/>
          <w:szCs w:val="18"/>
        </w:rPr>
        <w:t xml:space="preserve">Vivian Braeken – v.braeken@maastrichtuniversity.nl – </w:t>
      </w:r>
      <w:r w:rsidR="000E32B4">
        <w:rPr>
          <w:sz w:val="18"/>
          <w:szCs w:val="18"/>
        </w:rPr>
        <w:t>CAPHRI</w:t>
      </w:r>
    </w:p>
    <w:p w14:paraId="694D7F41" w14:textId="526E1CD1" w:rsidR="00265740" w:rsidRPr="001F56F8" w:rsidRDefault="000E32B4" w:rsidP="001F56F8">
      <w:pPr>
        <w:spacing w:after="0" w:line="240" w:lineRule="auto"/>
        <w:rPr>
          <w:rFonts w:ascii="Verdana" w:hAnsi="Verdana" w:cs="Verdana"/>
          <w:color w:val="000000"/>
          <w:sz w:val="18"/>
          <w:szCs w:val="18"/>
        </w:rPr>
      </w:pPr>
      <w:r>
        <w:rPr>
          <w:rFonts w:ascii="Verdana" w:hAnsi="Verdana" w:cs="Verdana"/>
          <w:color w:val="000000"/>
          <w:sz w:val="18"/>
          <w:szCs w:val="18"/>
        </w:rPr>
        <w:t xml:space="preserve">Pan Xu </w:t>
      </w:r>
      <w:r w:rsidRPr="000E32B4">
        <w:rPr>
          <w:rFonts w:ascii="Verdana" w:hAnsi="Verdana" w:cs="Verdana"/>
          <w:color w:val="000000"/>
          <w:sz w:val="18"/>
          <w:szCs w:val="18"/>
        </w:rPr>
        <w:t>–</w:t>
      </w:r>
      <w:r>
        <w:rPr>
          <w:rFonts w:ascii="Verdana" w:hAnsi="Verdana" w:cs="Verdana"/>
          <w:color w:val="000000"/>
          <w:sz w:val="18"/>
          <w:szCs w:val="18"/>
        </w:rPr>
        <w:t xml:space="preserve"> </w:t>
      </w:r>
      <w:hyperlink r:id="rId13" w:history="1">
        <w:r w:rsidRPr="000E32B4">
          <w:rPr>
            <w:rFonts w:ascii="Verdana" w:hAnsi="Verdana" w:cs="Verdana"/>
            <w:color w:val="000000"/>
            <w:sz w:val="18"/>
            <w:szCs w:val="18"/>
          </w:rPr>
          <w:t>pan.xu@maastrichtuniversity.nl</w:t>
        </w:r>
      </w:hyperlink>
      <w:r>
        <w:rPr>
          <w:rFonts w:ascii="Verdana" w:hAnsi="Verdana" w:cs="Verdana"/>
          <w:color w:val="000000"/>
          <w:sz w:val="18"/>
          <w:szCs w:val="18"/>
        </w:rPr>
        <w:t xml:space="preserve"> </w:t>
      </w:r>
      <w:r w:rsidRPr="000E32B4">
        <w:rPr>
          <w:rFonts w:ascii="Verdana" w:hAnsi="Verdana" w:cs="Verdana"/>
          <w:color w:val="000000"/>
          <w:sz w:val="18"/>
          <w:szCs w:val="18"/>
        </w:rPr>
        <w:t>–</w:t>
      </w:r>
      <w:r>
        <w:rPr>
          <w:rFonts w:ascii="Verdana" w:hAnsi="Verdana" w:cs="Verdana"/>
          <w:color w:val="000000"/>
          <w:sz w:val="18"/>
          <w:szCs w:val="18"/>
        </w:rPr>
        <w:t xml:space="preserve"> GROW, MERLN</w:t>
      </w:r>
    </w:p>
    <w:p w14:paraId="51D80262" w14:textId="77777777" w:rsidR="001F56F8" w:rsidRDefault="001F56F8" w:rsidP="009A3DC1">
      <w:pPr>
        <w:pStyle w:val="Default"/>
        <w:rPr>
          <w:sz w:val="18"/>
          <w:szCs w:val="18"/>
        </w:rPr>
      </w:pPr>
    </w:p>
    <w:p w14:paraId="5D17C8FD" w14:textId="14B07DD5" w:rsidR="00265740" w:rsidRDefault="00265740" w:rsidP="009A3DC1">
      <w:pPr>
        <w:pStyle w:val="Default"/>
        <w:rPr>
          <w:sz w:val="18"/>
          <w:szCs w:val="18"/>
        </w:rPr>
      </w:pPr>
      <w:r w:rsidRPr="009A3DC1">
        <w:rPr>
          <w:sz w:val="18"/>
          <w:szCs w:val="18"/>
        </w:rPr>
        <w:t xml:space="preserve">See also: </w:t>
      </w:r>
    </w:p>
    <w:p w14:paraId="2E8B699B" w14:textId="7FE18BE0" w:rsidR="001D0DC0" w:rsidRPr="009A3DC1" w:rsidRDefault="009B415A" w:rsidP="009A3DC1">
      <w:pPr>
        <w:pStyle w:val="Default"/>
        <w:rPr>
          <w:sz w:val="18"/>
          <w:szCs w:val="18"/>
        </w:rPr>
      </w:pPr>
      <w:hyperlink r:id="rId14" w:history="1">
        <w:r w:rsidR="001D0DC0" w:rsidRPr="00E31310">
          <w:rPr>
            <w:rStyle w:val="Hyperlink"/>
            <w:sz w:val="18"/>
            <w:szCs w:val="18"/>
          </w:rPr>
          <w:t>https://www.ma</w:t>
        </w:r>
        <w:bookmarkStart w:id="0" w:name="_GoBack"/>
        <w:bookmarkEnd w:id="0"/>
        <w:r w:rsidR="001D0DC0" w:rsidRPr="00E31310">
          <w:rPr>
            <w:rStyle w:val="Hyperlink"/>
            <w:sz w:val="18"/>
            <w:szCs w:val="18"/>
          </w:rPr>
          <w:t>a</w:t>
        </w:r>
        <w:r w:rsidR="001D0DC0" w:rsidRPr="00E31310">
          <w:rPr>
            <w:rStyle w:val="Hyperlink"/>
            <w:sz w:val="18"/>
            <w:szCs w:val="18"/>
          </w:rPr>
          <w:t>strichtuniversity.nl/about-um/faculties/health-medicine-and-life-sciences/research/research-office/fund-your-research</w:t>
        </w:r>
      </w:hyperlink>
      <w:r w:rsidR="001D0DC0">
        <w:rPr>
          <w:sz w:val="18"/>
          <w:szCs w:val="18"/>
        </w:rPr>
        <w:t xml:space="preserve"> </w:t>
      </w:r>
    </w:p>
    <w:p w14:paraId="74866CB8" w14:textId="77777777" w:rsidR="00771A45" w:rsidRDefault="00771A45" w:rsidP="009A3DC1">
      <w:pPr>
        <w:pStyle w:val="Default"/>
        <w:rPr>
          <w:sz w:val="18"/>
          <w:szCs w:val="18"/>
        </w:rPr>
      </w:pPr>
    </w:p>
    <w:p w14:paraId="6405D4BD" w14:textId="77777777" w:rsidR="00265740" w:rsidRPr="009A3DC1" w:rsidRDefault="00265740" w:rsidP="009A3DC1">
      <w:pPr>
        <w:pStyle w:val="Default"/>
        <w:rPr>
          <w:sz w:val="18"/>
          <w:szCs w:val="18"/>
        </w:rPr>
      </w:pPr>
      <w:r w:rsidRPr="00771A45">
        <w:rPr>
          <w:i/>
          <w:sz w:val="18"/>
          <w:szCs w:val="18"/>
        </w:rPr>
        <w:t xml:space="preserve">Note: This document </w:t>
      </w:r>
      <w:proofErr w:type="gramStart"/>
      <w:r w:rsidRPr="00771A45">
        <w:rPr>
          <w:i/>
          <w:sz w:val="18"/>
          <w:szCs w:val="18"/>
        </w:rPr>
        <w:t>is intended</w:t>
      </w:r>
      <w:proofErr w:type="gramEnd"/>
      <w:r w:rsidRPr="00771A45">
        <w:rPr>
          <w:i/>
          <w:sz w:val="18"/>
          <w:szCs w:val="18"/>
        </w:rPr>
        <w:t xml:space="preserve"> to provide general information. </w:t>
      </w:r>
      <w:r w:rsidRPr="00764DCB">
        <w:rPr>
          <w:i/>
          <w:sz w:val="18"/>
          <w:szCs w:val="18"/>
        </w:rPr>
        <w:t xml:space="preserve">No rights </w:t>
      </w:r>
      <w:proofErr w:type="gramStart"/>
      <w:r w:rsidRPr="00764DCB">
        <w:rPr>
          <w:i/>
          <w:sz w:val="18"/>
          <w:szCs w:val="18"/>
        </w:rPr>
        <w:t>may be derived</w:t>
      </w:r>
      <w:proofErr w:type="gramEnd"/>
      <w:r w:rsidRPr="00764DCB">
        <w:rPr>
          <w:i/>
          <w:sz w:val="18"/>
          <w:szCs w:val="18"/>
        </w:rPr>
        <w:t xml:space="preserve"> from the information provided.</w:t>
      </w:r>
    </w:p>
    <w:sectPr w:rsidR="00265740" w:rsidRPr="009A3DC1">
      <w:headerReference w:type="default"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64E1" w16cex:dateUtc="2020-12-11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27EAC5" w16cid:durableId="237E6345"/>
  <w16cid:commentId w16cid:paraId="538AA8EE" w16cid:durableId="237E64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B5560" w14:textId="77777777" w:rsidR="009B415A" w:rsidRDefault="009B415A" w:rsidP="00125BD7">
      <w:pPr>
        <w:spacing w:after="0" w:line="240" w:lineRule="auto"/>
      </w:pPr>
      <w:r>
        <w:separator/>
      </w:r>
    </w:p>
  </w:endnote>
  <w:endnote w:type="continuationSeparator" w:id="0">
    <w:p w14:paraId="054F9B88" w14:textId="77777777" w:rsidR="009B415A" w:rsidRDefault="009B415A" w:rsidP="0012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33586"/>
      <w:docPartObj>
        <w:docPartGallery w:val="Page Numbers (Bottom of Page)"/>
        <w:docPartUnique/>
      </w:docPartObj>
    </w:sdtPr>
    <w:sdtEndPr>
      <w:rPr>
        <w:color w:val="808080" w:themeColor="background1" w:themeShade="80"/>
        <w:sz w:val="20"/>
        <w:szCs w:val="20"/>
      </w:rPr>
    </w:sdtEndPr>
    <w:sdtContent>
      <w:sdt>
        <w:sdtPr>
          <w:id w:val="-1769616900"/>
          <w:docPartObj>
            <w:docPartGallery w:val="Page Numbers (Top of Page)"/>
            <w:docPartUnique/>
          </w:docPartObj>
        </w:sdtPr>
        <w:sdtEndPr>
          <w:rPr>
            <w:color w:val="808080" w:themeColor="background1" w:themeShade="80"/>
            <w:sz w:val="20"/>
            <w:szCs w:val="20"/>
          </w:rPr>
        </w:sdtEndPr>
        <w:sdtContent>
          <w:p w14:paraId="46E46C49" w14:textId="3859B8F4" w:rsidR="00A3079A" w:rsidRPr="00A3079A" w:rsidRDefault="000E32B4">
            <w:pPr>
              <w:pStyle w:val="Footer"/>
              <w:jc w:val="right"/>
              <w:rPr>
                <w:bCs/>
                <w:color w:val="808080" w:themeColor="background1" w:themeShade="80"/>
                <w:sz w:val="20"/>
                <w:szCs w:val="20"/>
              </w:rPr>
            </w:pPr>
            <w:r w:rsidRPr="00A3079A">
              <w:rPr>
                <w:color w:val="808080" w:themeColor="background1" w:themeShade="80"/>
                <w:sz w:val="20"/>
                <w:szCs w:val="20"/>
              </w:rPr>
              <w:t xml:space="preserve">Page </w:t>
            </w:r>
            <w:r w:rsidRPr="00A3079A">
              <w:rPr>
                <w:bCs/>
                <w:color w:val="808080" w:themeColor="background1" w:themeShade="80"/>
                <w:sz w:val="20"/>
                <w:szCs w:val="20"/>
              </w:rPr>
              <w:fldChar w:fldCharType="begin"/>
            </w:r>
            <w:r w:rsidRPr="00A3079A">
              <w:rPr>
                <w:bCs/>
                <w:color w:val="808080" w:themeColor="background1" w:themeShade="80"/>
                <w:sz w:val="20"/>
                <w:szCs w:val="20"/>
              </w:rPr>
              <w:instrText xml:space="preserve"> PAGE </w:instrText>
            </w:r>
            <w:r w:rsidRPr="00A3079A">
              <w:rPr>
                <w:bCs/>
                <w:color w:val="808080" w:themeColor="background1" w:themeShade="80"/>
                <w:sz w:val="20"/>
                <w:szCs w:val="20"/>
              </w:rPr>
              <w:fldChar w:fldCharType="separate"/>
            </w:r>
            <w:r w:rsidR="00BF139F">
              <w:rPr>
                <w:bCs/>
                <w:noProof/>
                <w:color w:val="808080" w:themeColor="background1" w:themeShade="80"/>
                <w:sz w:val="20"/>
                <w:szCs w:val="20"/>
              </w:rPr>
              <w:t>4</w:t>
            </w:r>
            <w:r w:rsidRPr="00A3079A">
              <w:rPr>
                <w:bCs/>
                <w:color w:val="808080" w:themeColor="background1" w:themeShade="80"/>
                <w:sz w:val="20"/>
                <w:szCs w:val="20"/>
              </w:rPr>
              <w:fldChar w:fldCharType="end"/>
            </w:r>
            <w:r w:rsidRPr="00A3079A">
              <w:rPr>
                <w:color w:val="808080" w:themeColor="background1" w:themeShade="80"/>
                <w:sz w:val="20"/>
                <w:szCs w:val="20"/>
              </w:rPr>
              <w:t xml:space="preserve"> of </w:t>
            </w:r>
            <w:r w:rsidRPr="00A3079A">
              <w:rPr>
                <w:bCs/>
                <w:color w:val="808080" w:themeColor="background1" w:themeShade="80"/>
                <w:sz w:val="20"/>
                <w:szCs w:val="20"/>
              </w:rPr>
              <w:fldChar w:fldCharType="begin"/>
            </w:r>
            <w:r w:rsidRPr="00A3079A">
              <w:rPr>
                <w:bCs/>
                <w:color w:val="808080" w:themeColor="background1" w:themeShade="80"/>
                <w:sz w:val="20"/>
                <w:szCs w:val="20"/>
              </w:rPr>
              <w:instrText xml:space="preserve"> NUMPAGES  </w:instrText>
            </w:r>
            <w:r w:rsidRPr="00A3079A">
              <w:rPr>
                <w:bCs/>
                <w:color w:val="808080" w:themeColor="background1" w:themeShade="80"/>
                <w:sz w:val="20"/>
                <w:szCs w:val="20"/>
              </w:rPr>
              <w:fldChar w:fldCharType="separate"/>
            </w:r>
            <w:r w:rsidR="00BF139F">
              <w:rPr>
                <w:bCs/>
                <w:noProof/>
                <w:color w:val="808080" w:themeColor="background1" w:themeShade="80"/>
                <w:sz w:val="20"/>
                <w:szCs w:val="20"/>
              </w:rPr>
              <w:t>4</w:t>
            </w:r>
            <w:r w:rsidRPr="00A3079A">
              <w:rPr>
                <w:bCs/>
                <w:color w:val="808080" w:themeColor="background1" w:themeShade="80"/>
                <w:sz w:val="20"/>
                <w:szCs w:val="20"/>
              </w:rPr>
              <w:fldChar w:fldCharType="end"/>
            </w:r>
          </w:p>
          <w:p w14:paraId="441B047C" w14:textId="77777777" w:rsidR="00A3079A" w:rsidRPr="00A3079A" w:rsidRDefault="00A3079A" w:rsidP="00A3079A">
            <w:pPr>
              <w:pStyle w:val="Footer"/>
              <w:rPr>
                <w:bCs/>
                <w:color w:val="808080" w:themeColor="background1" w:themeShade="80"/>
                <w:sz w:val="20"/>
                <w:szCs w:val="20"/>
              </w:rPr>
            </w:pPr>
            <w:r w:rsidRPr="00A3079A">
              <w:rPr>
                <w:bCs/>
                <w:color w:val="808080" w:themeColor="background1" w:themeShade="80"/>
                <w:sz w:val="20"/>
                <w:szCs w:val="20"/>
              </w:rPr>
              <w:t xml:space="preserve">Kootstra Talent Fellowship </w:t>
            </w:r>
          </w:p>
          <w:p w14:paraId="5B87EC53" w14:textId="77777777" w:rsidR="000E32B4" w:rsidRPr="00A3079A" w:rsidRDefault="00A3079A" w:rsidP="00A3079A">
            <w:pPr>
              <w:pStyle w:val="Footer"/>
              <w:rPr>
                <w:color w:val="808080" w:themeColor="background1" w:themeShade="80"/>
                <w:sz w:val="20"/>
                <w:szCs w:val="20"/>
              </w:rPr>
            </w:pPr>
            <w:r w:rsidRPr="00A3079A">
              <w:rPr>
                <w:bCs/>
                <w:color w:val="808080" w:themeColor="background1" w:themeShade="80"/>
                <w:sz w:val="20"/>
                <w:szCs w:val="20"/>
              </w:rPr>
              <w:t>Spring 2021</w:t>
            </w:r>
          </w:p>
        </w:sdtContent>
      </w:sdt>
    </w:sdtContent>
  </w:sdt>
  <w:p w14:paraId="08821FD8" w14:textId="77777777" w:rsidR="000E32B4" w:rsidRDefault="000E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9739" w14:textId="77777777" w:rsidR="009B415A" w:rsidRDefault="009B415A" w:rsidP="00125BD7">
      <w:pPr>
        <w:spacing w:after="0" w:line="240" w:lineRule="auto"/>
      </w:pPr>
      <w:r>
        <w:separator/>
      </w:r>
    </w:p>
  </w:footnote>
  <w:footnote w:type="continuationSeparator" w:id="0">
    <w:p w14:paraId="35C29F09" w14:textId="77777777" w:rsidR="009B415A" w:rsidRDefault="009B415A" w:rsidP="0012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CD5E" w14:textId="77777777" w:rsidR="00125BD7" w:rsidRPr="00125BD7" w:rsidRDefault="00BB5BC7" w:rsidP="00125BD7">
    <w:pPr>
      <w:tabs>
        <w:tab w:val="center" w:pos="4320"/>
        <w:tab w:val="right" w:pos="8640"/>
      </w:tabs>
      <w:spacing w:after="0" w:line="240" w:lineRule="auto"/>
      <w:jc w:val="right"/>
      <w:rPr>
        <w:rFonts w:ascii="Times New Roman" w:eastAsia="Times New Roman" w:hAnsi="Times New Roman" w:cs="Times New Roman"/>
        <w:sz w:val="24"/>
        <w:szCs w:val="24"/>
        <w:lang w:val="nl-NL" w:eastAsia="nl-NL"/>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4C8207DD" wp14:editId="33749841">
          <wp:simplePos x="0" y="0"/>
          <wp:positionH relativeFrom="page">
            <wp:align>right</wp:align>
          </wp:positionH>
          <wp:positionV relativeFrom="paragraph">
            <wp:posOffset>-448945</wp:posOffset>
          </wp:positionV>
          <wp:extent cx="7560310" cy="1322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958CD" w14:textId="77777777" w:rsidR="00125BD7" w:rsidRPr="00A3079A" w:rsidRDefault="00125BD7">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5"/>
    <w:multiLevelType w:val="hybridMultilevel"/>
    <w:tmpl w:val="E006FD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6A73411"/>
    <w:multiLevelType w:val="hybridMultilevel"/>
    <w:tmpl w:val="F058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76513"/>
    <w:multiLevelType w:val="hybridMultilevel"/>
    <w:tmpl w:val="8FDA2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2CB455A"/>
    <w:multiLevelType w:val="hybridMultilevel"/>
    <w:tmpl w:val="E356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43D15"/>
    <w:multiLevelType w:val="hybridMultilevel"/>
    <w:tmpl w:val="6556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76115"/>
    <w:multiLevelType w:val="hybridMultilevel"/>
    <w:tmpl w:val="5366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5744C"/>
    <w:multiLevelType w:val="hybridMultilevel"/>
    <w:tmpl w:val="ABD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B05FB"/>
    <w:multiLevelType w:val="hybridMultilevel"/>
    <w:tmpl w:val="E9305B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1A03219"/>
    <w:multiLevelType w:val="hybridMultilevel"/>
    <w:tmpl w:val="10EC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42DD5"/>
    <w:multiLevelType w:val="hybridMultilevel"/>
    <w:tmpl w:val="DE82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8"/>
  </w:num>
  <w:num w:numId="6">
    <w:abstractNumId w:val="0"/>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7"/>
    <w:rsid w:val="00086B3D"/>
    <w:rsid w:val="000C7C64"/>
    <w:rsid w:val="000E32B4"/>
    <w:rsid w:val="00125BD7"/>
    <w:rsid w:val="001912AA"/>
    <w:rsid w:val="001C591B"/>
    <w:rsid w:val="001D0DC0"/>
    <w:rsid w:val="001F1F7B"/>
    <w:rsid w:val="001F56F8"/>
    <w:rsid w:val="00200D18"/>
    <w:rsid w:val="00242642"/>
    <w:rsid w:val="00265740"/>
    <w:rsid w:val="00294C80"/>
    <w:rsid w:val="00296FB5"/>
    <w:rsid w:val="0035020B"/>
    <w:rsid w:val="00387A20"/>
    <w:rsid w:val="00392835"/>
    <w:rsid w:val="003F4D07"/>
    <w:rsid w:val="00440A42"/>
    <w:rsid w:val="00444C3C"/>
    <w:rsid w:val="004A1A4C"/>
    <w:rsid w:val="004E0FD8"/>
    <w:rsid w:val="00531FA6"/>
    <w:rsid w:val="0059505E"/>
    <w:rsid w:val="005C0A37"/>
    <w:rsid w:val="006038E4"/>
    <w:rsid w:val="006B18E5"/>
    <w:rsid w:val="00764DCB"/>
    <w:rsid w:val="00771A45"/>
    <w:rsid w:val="007A3719"/>
    <w:rsid w:val="007C414E"/>
    <w:rsid w:val="00867598"/>
    <w:rsid w:val="0088495B"/>
    <w:rsid w:val="00897F1E"/>
    <w:rsid w:val="008C0477"/>
    <w:rsid w:val="00925D21"/>
    <w:rsid w:val="009447A9"/>
    <w:rsid w:val="00955744"/>
    <w:rsid w:val="009961B5"/>
    <w:rsid w:val="009A3DC1"/>
    <w:rsid w:val="009B1602"/>
    <w:rsid w:val="009B415A"/>
    <w:rsid w:val="00A0401A"/>
    <w:rsid w:val="00A3079A"/>
    <w:rsid w:val="00A36E76"/>
    <w:rsid w:val="00AC20C3"/>
    <w:rsid w:val="00B418A5"/>
    <w:rsid w:val="00BB5BC7"/>
    <w:rsid w:val="00BC2D7B"/>
    <w:rsid w:val="00BF139F"/>
    <w:rsid w:val="00C036B3"/>
    <w:rsid w:val="00CA004D"/>
    <w:rsid w:val="00CE37E5"/>
    <w:rsid w:val="00D6786E"/>
    <w:rsid w:val="00DA4B9C"/>
    <w:rsid w:val="00DB63B8"/>
    <w:rsid w:val="00DE45FD"/>
    <w:rsid w:val="00E477BB"/>
    <w:rsid w:val="00E50C22"/>
    <w:rsid w:val="00E94181"/>
    <w:rsid w:val="00EB6241"/>
    <w:rsid w:val="00F72E0B"/>
    <w:rsid w:val="00F9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CFD4"/>
  <w15:chartTrackingRefBased/>
  <w15:docId w15:val="{148593C5-1486-4715-AF54-47175F82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BD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125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BD7"/>
  </w:style>
  <w:style w:type="paragraph" w:styleId="Footer">
    <w:name w:val="footer"/>
    <w:basedOn w:val="Normal"/>
    <w:link w:val="FooterChar"/>
    <w:uiPriority w:val="99"/>
    <w:unhideWhenUsed/>
    <w:rsid w:val="0012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BD7"/>
  </w:style>
  <w:style w:type="table" w:styleId="TableGrid">
    <w:name w:val="Table Grid"/>
    <w:basedOn w:val="TableNormal"/>
    <w:uiPriority w:val="39"/>
    <w:rsid w:val="0026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2B4"/>
    <w:rPr>
      <w:color w:val="0563C1" w:themeColor="hyperlink"/>
      <w:u w:val="single"/>
    </w:rPr>
  </w:style>
  <w:style w:type="paragraph" w:styleId="BalloonText">
    <w:name w:val="Balloon Text"/>
    <w:basedOn w:val="Normal"/>
    <w:link w:val="BalloonTextChar"/>
    <w:uiPriority w:val="99"/>
    <w:semiHidden/>
    <w:unhideWhenUsed/>
    <w:rsid w:val="00A30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9A"/>
    <w:rPr>
      <w:rFonts w:ascii="Segoe UI" w:hAnsi="Segoe UI" w:cs="Segoe UI"/>
      <w:sz w:val="18"/>
      <w:szCs w:val="18"/>
    </w:rPr>
  </w:style>
  <w:style w:type="paragraph" w:styleId="ListParagraph">
    <w:name w:val="List Paragraph"/>
    <w:basedOn w:val="Normal"/>
    <w:uiPriority w:val="34"/>
    <w:qFormat/>
    <w:rsid w:val="00444C3C"/>
    <w:pPr>
      <w:ind w:left="720"/>
      <w:contextualSpacing/>
    </w:pPr>
  </w:style>
  <w:style w:type="character" w:styleId="CommentReference">
    <w:name w:val="annotation reference"/>
    <w:basedOn w:val="DefaultParagraphFont"/>
    <w:uiPriority w:val="99"/>
    <w:semiHidden/>
    <w:unhideWhenUsed/>
    <w:rsid w:val="00771A45"/>
    <w:rPr>
      <w:sz w:val="16"/>
      <w:szCs w:val="16"/>
    </w:rPr>
  </w:style>
  <w:style w:type="paragraph" w:styleId="CommentText">
    <w:name w:val="annotation text"/>
    <w:basedOn w:val="Normal"/>
    <w:link w:val="CommentTextChar"/>
    <w:uiPriority w:val="99"/>
    <w:semiHidden/>
    <w:unhideWhenUsed/>
    <w:rsid w:val="00771A45"/>
    <w:pPr>
      <w:spacing w:line="240" w:lineRule="auto"/>
    </w:pPr>
    <w:rPr>
      <w:sz w:val="20"/>
      <w:szCs w:val="20"/>
    </w:rPr>
  </w:style>
  <w:style w:type="character" w:customStyle="1" w:styleId="CommentTextChar">
    <w:name w:val="Comment Text Char"/>
    <w:basedOn w:val="DefaultParagraphFont"/>
    <w:link w:val="CommentText"/>
    <w:uiPriority w:val="99"/>
    <w:semiHidden/>
    <w:rsid w:val="00771A45"/>
    <w:rPr>
      <w:sz w:val="20"/>
      <w:szCs w:val="20"/>
    </w:rPr>
  </w:style>
  <w:style w:type="paragraph" w:styleId="CommentSubject">
    <w:name w:val="annotation subject"/>
    <w:basedOn w:val="CommentText"/>
    <w:next w:val="CommentText"/>
    <w:link w:val="CommentSubjectChar"/>
    <w:uiPriority w:val="99"/>
    <w:semiHidden/>
    <w:unhideWhenUsed/>
    <w:rsid w:val="00771A45"/>
    <w:rPr>
      <w:b/>
      <w:bCs/>
    </w:rPr>
  </w:style>
  <w:style w:type="character" w:customStyle="1" w:styleId="CommentSubjectChar">
    <w:name w:val="Comment Subject Char"/>
    <w:basedOn w:val="CommentTextChar"/>
    <w:link w:val="CommentSubject"/>
    <w:uiPriority w:val="99"/>
    <w:semiHidden/>
    <w:rsid w:val="00771A45"/>
    <w:rPr>
      <w:b/>
      <w:bCs/>
      <w:sz w:val="20"/>
      <w:szCs w:val="20"/>
    </w:rPr>
  </w:style>
  <w:style w:type="character" w:styleId="FollowedHyperlink">
    <w:name w:val="FollowedHyperlink"/>
    <w:basedOn w:val="DefaultParagraphFont"/>
    <w:uiPriority w:val="99"/>
    <w:semiHidden/>
    <w:unhideWhenUsed/>
    <w:rsid w:val="00E47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office-fhml@maastrichtuniversity.nl" TargetMode="External"/><Relationship Id="rId13" Type="http://schemas.openxmlformats.org/officeDocument/2006/relationships/hyperlink" Target="mailto:pan.xu@maastrichtuniversity.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snu.nl/en_GB/cao-universiteiten.html" TargetMode="External"/><Relationship Id="rId12" Type="http://schemas.openxmlformats.org/officeDocument/2006/relationships/hyperlink" Target="mailto:m.berndes@maastrichtuniversity.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office-fhml@maastrichtuniversity.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rantsoffice-fhml@maastrichtuniversity.nl"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maastrichtuniversity.nl/about-um/faculties/health-medicine-and-life-sciences/research/maastricht-umc-research-committee" TargetMode="External"/><Relationship Id="rId14" Type="http://schemas.openxmlformats.org/officeDocument/2006/relationships/hyperlink" Target="https://www.maastrichtuniversity.nl/about-um/faculties/health-medicine-and-life-sciences/research/research-office/fund-your-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Braeken, Vivian (RESEARCHOFFICE)</dc:creator>
  <cp:keywords/>
  <dc:description/>
  <cp:lastModifiedBy>Berndes, M (RESEARCHOFFICE)</cp:lastModifiedBy>
  <cp:revision>4</cp:revision>
  <dcterms:created xsi:type="dcterms:W3CDTF">2022-01-05T12:54:00Z</dcterms:created>
  <dcterms:modified xsi:type="dcterms:W3CDTF">2022-07-12T08:27:00Z</dcterms:modified>
</cp:coreProperties>
</file>